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68" w:rsidRPr="009027F1" w:rsidRDefault="000B3668" w:rsidP="00F50AAD">
      <w:pPr>
        <w:ind w:left="5670"/>
        <w:rPr>
          <w:rFonts w:ascii="Times New Roman" w:hAnsi="Times New Roman"/>
          <w:caps/>
          <w:color w:val="000000" w:themeColor="text1"/>
          <w:szCs w:val="28"/>
        </w:rPr>
      </w:pPr>
      <w:r w:rsidRPr="009027F1">
        <w:rPr>
          <w:rFonts w:ascii="Times New Roman" w:hAnsi="Times New Roman"/>
          <w:caps/>
          <w:color w:val="000000" w:themeColor="text1"/>
          <w:szCs w:val="28"/>
        </w:rPr>
        <w:t>Затверджено</w:t>
      </w:r>
    </w:p>
    <w:p w:rsidR="00F50AAD" w:rsidRDefault="00F50AAD" w:rsidP="00F50AAD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0B3668" w:rsidRPr="009027F1" w:rsidRDefault="000B3668" w:rsidP="00F50AAD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Рішення</w:t>
      </w:r>
      <w:r w:rsidR="00F50AAD">
        <w:rPr>
          <w:rFonts w:ascii="Times New Roman" w:hAnsi="Times New Roman"/>
          <w:color w:val="000000" w:themeColor="text1"/>
          <w:szCs w:val="28"/>
        </w:rPr>
        <w:t xml:space="preserve"> шістдесят четвертої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сесії Лебединської міської ради восьмого скликання</w:t>
      </w:r>
    </w:p>
    <w:p w:rsidR="00F50AAD" w:rsidRDefault="00F50AAD" w:rsidP="00F50AAD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0B3668" w:rsidRPr="009027F1" w:rsidRDefault="000B3668" w:rsidP="00F50AAD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00</w:t>
      </w:r>
      <w:r w:rsidR="00F50AAD">
        <w:rPr>
          <w:rFonts w:ascii="Times New Roman" w:hAnsi="Times New Roman"/>
          <w:color w:val="000000" w:themeColor="text1"/>
          <w:szCs w:val="28"/>
        </w:rPr>
        <w:t xml:space="preserve"> червня </w:t>
      </w:r>
      <w:r w:rsidRPr="009027F1">
        <w:rPr>
          <w:rFonts w:ascii="Times New Roman" w:hAnsi="Times New Roman"/>
          <w:color w:val="000000" w:themeColor="text1"/>
          <w:szCs w:val="28"/>
        </w:rPr>
        <w:t>202</w:t>
      </w:r>
      <w:r>
        <w:rPr>
          <w:rFonts w:ascii="Times New Roman" w:hAnsi="Times New Roman"/>
          <w:color w:val="000000" w:themeColor="text1"/>
          <w:szCs w:val="28"/>
        </w:rPr>
        <w:t>5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</w:t>
      </w:r>
      <w:r w:rsidR="00F50AAD">
        <w:rPr>
          <w:rFonts w:ascii="Times New Roman" w:hAnsi="Times New Roman"/>
          <w:color w:val="000000" w:themeColor="text1"/>
          <w:szCs w:val="28"/>
        </w:rPr>
        <w:t xml:space="preserve">року </w:t>
      </w:r>
      <w:r w:rsidRPr="009027F1">
        <w:rPr>
          <w:rFonts w:ascii="Times New Roman" w:hAnsi="Times New Roman"/>
          <w:color w:val="000000" w:themeColor="text1"/>
          <w:szCs w:val="28"/>
        </w:rPr>
        <w:t>№ 000-МР</w:t>
      </w:r>
    </w:p>
    <w:p w:rsidR="000B3668" w:rsidRPr="009027F1" w:rsidRDefault="000B3668" w:rsidP="000B3668">
      <w:pPr>
        <w:jc w:val="center"/>
        <w:rPr>
          <w:b/>
          <w:bCs/>
          <w:color w:val="000000" w:themeColor="text1"/>
          <w:szCs w:val="28"/>
        </w:rPr>
      </w:pPr>
    </w:p>
    <w:p w:rsidR="000B3668" w:rsidRPr="009027F1" w:rsidRDefault="00184E1A" w:rsidP="000B366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ЕЛЕМЕНТИ</w:t>
      </w:r>
    </w:p>
    <w:p w:rsidR="000B3668" w:rsidRDefault="000B3668" w:rsidP="00AB59A9">
      <w:pPr>
        <w:jc w:val="center"/>
        <w:rPr>
          <w:b/>
          <w:bCs/>
          <w:color w:val="000000" w:themeColor="text1"/>
        </w:rPr>
      </w:pPr>
      <w:bookmarkStart w:id="0" w:name="_Hlk200012160"/>
      <w:r w:rsidRPr="009027F1">
        <w:rPr>
          <w:b/>
          <w:bCs/>
          <w:color w:val="000000" w:themeColor="text1"/>
        </w:rPr>
        <w:t xml:space="preserve">оподаткування </w:t>
      </w:r>
      <w:r w:rsidR="00E60F68">
        <w:rPr>
          <w:b/>
          <w:bCs/>
          <w:color w:val="000000" w:themeColor="text1"/>
        </w:rPr>
        <w:t>єдиним податком фізичних осіб-</w:t>
      </w:r>
      <w:r w:rsidRPr="009027F1">
        <w:rPr>
          <w:b/>
          <w:bCs/>
          <w:color w:val="000000" w:themeColor="text1"/>
        </w:rPr>
        <w:t>підприємців І та ІІ групи</w:t>
      </w:r>
      <w:bookmarkEnd w:id="0"/>
    </w:p>
    <w:p w:rsidR="00184E1A" w:rsidRPr="00F50AAD" w:rsidRDefault="00184E1A" w:rsidP="00AB59A9">
      <w:pPr>
        <w:jc w:val="center"/>
        <w:rPr>
          <w:b/>
          <w:bCs/>
          <w:color w:val="000000" w:themeColor="text1"/>
        </w:rPr>
      </w:pPr>
    </w:p>
    <w:p w:rsidR="000B3668" w:rsidRDefault="000B3668" w:rsidP="00F50AAD">
      <w:pPr>
        <w:numPr>
          <w:ilvl w:val="0"/>
          <w:numId w:val="1"/>
        </w:numPr>
        <w:tabs>
          <w:tab w:val="left" w:pos="993"/>
        </w:tabs>
        <w:ind w:left="0" w:right="49" w:firstLine="567"/>
        <w:jc w:val="both"/>
        <w:rPr>
          <w:color w:val="000000" w:themeColor="text1"/>
        </w:rPr>
      </w:pPr>
      <w:r w:rsidRPr="00DC11DA">
        <w:rPr>
          <w:color w:val="000000" w:themeColor="text1"/>
        </w:rPr>
        <w:t>Платників</w:t>
      </w:r>
      <w:r w:rsidRPr="009027F1">
        <w:rPr>
          <w:color w:val="000000" w:themeColor="text1"/>
        </w:rPr>
        <w:t xml:space="preserve"> єдиного податку визначено</w:t>
      </w:r>
      <w:r w:rsidR="00BE698F">
        <w:rPr>
          <w:color w:val="000000" w:themeColor="text1"/>
          <w:lang w:val="ru-RU"/>
        </w:rPr>
        <w:t xml:space="preserve"> пунктом 291</w:t>
      </w:r>
      <w:r w:rsidR="00DC11DA">
        <w:rPr>
          <w:color w:val="000000" w:themeColor="text1"/>
          <w:lang w:val="ru-RU"/>
        </w:rPr>
        <w:t>.</w:t>
      </w:r>
      <w:r w:rsidR="00BE698F">
        <w:rPr>
          <w:color w:val="000000" w:themeColor="text1"/>
          <w:lang w:val="ru-RU"/>
        </w:rPr>
        <w:t>4</w:t>
      </w:r>
      <w:r w:rsidRPr="009027F1">
        <w:rPr>
          <w:color w:val="000000" w:themeColor="text1"/>
        </w:rPr>
        <w:t xml:space="preserve"> статт</w:t>
      </w:r>
      <w:r w:rsidR="00BE698F">
        <w:rPr>
          <w:color w:val="000000" w:themeColor="text1"/>
        </w:rPr>
        <w:t>і</w:t>
      </w:r>
      <w:r w:rsidRPr="009027F1">
        <w:rPr>
          <w:color w:val="000000" w:themeColor="text1"/>
        </w:rPr>
        <w:t xml:space="preserve"> 291 Податкового кодексу України.</w:t>
      </w:r>
    </w:p>
    <w:p w:rsidR="00BE698F" w:rsidRDefault="00E60F68" w:rsidP="00F50AAD">
      <w:pPr>
        <w:tabs>
          <w:tab w:val="left" w:pos="0"/>
        </w:tabs>
        <w:ind w:right="49" w:firstLine="567"/>
        <w:jc w:val="both"/>
        <w:rPr>
          <w:color w:val="000000" w:themeColor="text1"/>
        </w:rPr>
      </w:pPr>
      <w:r>
        <w:rPr>
          <w:color w:val="000000" w:themeColor="text1"/>
        </w:rPr>
        <w:t>Перелік суб</w:t>
      </w:r>
      <w:r>
        <w:rPr>
          <w:rFonts w:ascii="Calibri" w:hAnsi="Calibri"/>
          <w:color w:val="000000" w:themeColor="text1"/>
        </w:rPr>
        <w:t>'</w:t>
      </w:r>
      <w:r w:rsidR="00BE698F">
        <w:rPr>
          <w:color w:val="000000" w:themeColor="text1"/>
        </w:rPr>
        <w:t>єктів господарювання, які не можуть бути платниками єдино</w:t>
      </w:r>
      <w:r w:rsidR="00A81390">
        <w:rPr>
          <w:color w:val="000000" w:themeColor="text1"/>
        </w:rPr>
        <w:t>го податку І-ІІ</w:t>
      </w:r>
      <w:r>
        <w:rPr>
          <w:color w:val="000000" w:themeColor="text1"/>
        </w:rPr>
        <w:t xml:space="preserve"> групи</w:t>
      </w:r>
      <w:r w:rsidR="001A3AA2">
        <w:rPr>
          <w:color w:val="000000" w:themeColor="text1"/>
        </w:rPr>
        <w:t>,</w:t>
      </w:r>
      <w:r>
        <w:rPr>
          <w:color w:val="000000" w:themeColor="text1"/>
        </w:rPr>
        <w:t xml:space="preserve"> визначено </w:t>
      </w:r>
      <w:r w:rsidR="00BE698F">
        <w:rPr>
          <w:color w:val="000000" w:themeColor="text1"/>
        </w:rPr>
        <w:t>пунктом 291.5 статті 291 Податкового кодексу України.</w:t>
      </w:r>
    </w:p>
    <w:p w:rsidR="000B3668" w:rsidRDefault="000B3668" w:rsidP="001A3AA2">
      <w:pPr>
        <w:tabs>
          <w:tab w:val="left" w:pos="0"/>
          <w:tab w:val="left" w:pos="851"/>
        </w:tabs>
        <w:ind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Для цілей оподаткування єдиним податком </w:t>
      </w:r>
      <w:r w:rsidRPr="001A3AA2">
        <w:rPr>
          <w:color w:val="000000" w:themeColor="text1"/>
        </w:rPr>
        <w:t xml:space="preserve">фізичних </w:t>
      </w:r>
      <w:r w:rsidR="001A3AA2" w:rsidRPr="001A3AA2">
        <w:rPr>
          <w:bCs/>
          <w:color w:val="000000" w:themeColor="text1"/>
        </w:rPr>
        <w:t>осіб-підприємців І та ІІ групи</w:t>
      </w:r>
      <w:r w:rsidR="001A3AA2" w:rsidRPr="001A3AA2">
        <w:rPr>
          <w:color w:val="000000" w:themeColor="text1"/>
        </w:rPr>
        <w:t xml:space="preserve"> </w:t>
      </w:r>
      <w:r w:rsidRPr="001A3AA2">
        <w:rPr>
          <w:color w:val="000000" w:themeColor="text1"/>
        </w:rPr>
        <w:t>під побутовими послугами населенню, які надаю</w:t>
      </w:r>
      <w:r w:rsidRPr="009027F1">
        <w:rPr>
          <w:color w:val="000000" w:themeColor="text1"/>
        </w:rPr>
        <w:t>ться першою та другою групами платників єдиного податку, розуміються види послуг</w:t>
      </w:r>
      <w:r w:rsidR="002F0FAE">
        <w:rPr>
          <w:color w:val="000000" w:themeColor="text1"/>
        </w:rPr>
        <w:t>,</w:t>
      </w:r>
      <w:r w:rsidRPr="009027F1">
        <w:rPr>
          <w:color w:val="000000" w:themeColor="text1"/>
        </w:rPr>
        <w:t xml:space="preserve"> встановлені </w:t>
      </w:r>
      <w:r w:rsidR="00A90068">
        <w:rPr>
          <w:color w:val="000000" w:themeColor="text1"/>
        </w:rPr>
        <w:t xml:space="preserve">пунктом 291.7 статті 291 </w:t>
      </w:r>
      <w:r w:rsidRPr="009027F1">
        <w:rPr>
          <w:color w:val="000000" w:themeColor="text1"/>
        </w:rPr>
        <w:t>Податкового кодексу</w:t>
      </w:r>
      <w:r w:rsidR="00953AB5">
        <w:rPr>
          <w:color w:val="000000" w:themeColor="text1"/>
        </w:rPr>
        <w:t>.</w:t>
      </w:r>
      <w:r w:rsidRPr="009027F1">
        <w:rPr>
          <w:color w:val="000000" w:themeColor="text1"/>
        </w:rPr>
        <w:t xml:space="preserve"> Порядок визначення доходів та їх склад для платників єд</w:t>
      </w:r>
      <w:r w:rsidR="002F0FAE">
        <w:rPr>
          <w:color w:val="000000" w:themeColor="text1"/>
        </w:rPr>
        <w:t>иного податку першої - другої</w:t>
      </w:r>
      <w:r w:rsidRPr="009027F1">
        <w:rPr>
          <w:color w:val="000000" w:themeColor="text1"/>
        </w:rPr>
        <w:t xml:space="preserve"> груп визначено статтею 292 Податкового кодексу України.</w:t>
      </w:r>
    </w:p>
    <w:p w:rsidR="00A90068" w:rsidRPr="00A90068" w:rsidRDefault="004F2CBD" w:rsidP="001A3AA2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right="49" w:firstLine="567"/>
        <w:jc w:val="both"/>
        <w:rPr>
          <w:color w:val="000000" w:themeColor="text1"/>
        </w:rPr>
      </w:pPr>
      <w:r>
        <w:rPr>
          <w:color w:val="000000" w:themeColor="text1"/>
        </w:rPr>
        <w:t>Базою оподаткування</w:t>
      </w:r>
      <w:r w:rsidRPr="004F2CBD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Pr="004F2CBD">
        <w:rPr>
          <w:color w:val="000000" w:themeColor="text1"/>
        </w:rPr>
        <w:t xml:space="preserve"> платників першої групи</w:t>
      </w:r>
      <w:r>
        <w:rPr>
          <w:color w:val="000000" w:themeColor="text1"/>
        </w:rPr>
        <w:t xml:space="preserve"> є </w:t>
      </w:r>
      <w:r w:rsidRPr="004F2CBD">
        <w:rPr>
          <w:color w:val="000000" w:themeColor="text1"/>
        </w:rPr>
        <w:t>розмір прожиткового мінімуму для працездатних осіб, встановлен</w:t>
      </w:r>
      <w:r>
        <w:rPr>
          <w:color w:val="000000" w:themeColor="text1"/>
        </w:rPr>
        <w:t>ий</w:t>
      </w:r>
      <w:r w:rsidRPr="004F2CBD">
        <w:rPr>
          <w:color w:val="000000" w:themeColor="text1"/>
        </w:rPr>
        <w:t xml:space="preserve"> законом на 1 січня податкового (звітного) року,</w:t>
      </w:r>
      <w:r>
        <w:rPr>
          <w:color w:val="000000" w:themeColor="text1"/>
        </w:rPr>
        <w:t xml:space="preserve"> для платників</w:t>
      </w:r>
      <w:r w:rsidRPr="004F2CBD">
        <w:rPr>
          <w:color w:val="000000" w:themeColor="text1"/>
        </w:rPr>
        <w:t xml:space="preserve"> другої групи розмір мінімальної заробітної плати, встановленої законом на 1 січня податкового (звітного) року</w:t>
      </w:r>
      <w:r>
        <w:rPr>
          <w:color w:val="000000" w:themeColor="text1"/>
        </w:rPr>
        <w:t>.</w:t>
      </w:r>
    </w:p>
    <w:p w:rsidR="000B3668" w:rsidRPr="009027F1" w:rsidRDefault="000B3668" w:rsidP="001A3AA2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right="49" w:firstLine="567"/>
        <w:jc w:val="both"/>
        <w:rPr>
          <w:color w:val="000000" w:themeColor="text1"/>
        </w:rPr>
      </w:pPr>
      <w:r w:rsidRPr="00DC11DA">
        <w:rPr>
          <w:color w:val="000000" w:themeColor="text1"/>
        </w:rPr>
        <w:t>Ставки єд</w:t>
      </w:r>
      <w:r w:rsidRPr="009027F1">
        <w:rPr>
          <w:color w:val="000000" w:themeColor="text1"/>
        </w:rPr>
        <w:t>иного податку визначено у додатк</w:t>
      </w:r>
      <w:r>
        <w:rPr>
          <w:color w:val="000000" w:themeColor="text1"/>
        </w:rPr>
        <w:t>ах</w:t>
      </w:r>
      <w:r w:rsidR="00E66204">
        <w:rPr>
          <w:color w:val="000000" w:themeColor="text1"/>
        </w:rPr>
        <w:t xml:space="preserve"> 1 та 2 до Елементів</w:t>
      </w:r>
      <w:r w:rsidRPr="009027F1">
        <w:rPr>
          <w:color w:val="000000" w:themeColor="text1"/>
        </w:rPr>
        <w:t xml:space="preserve"> </w:t>
      </w:r>
      <w:r w:rsidR="00E66204" w:rsidRPr="00E66204">
        <w:rPr>
          <w:color w:val="000000" w:themeColor="text1"/>
        </w:rPr>
        <w:t xml:space="preserve">оподаткування </w:t>
      </w:r>
      <w:r w:rsidR="002F0FAE">
        <w:rPr>
          <w:color w:val="000000" w:themeColor="text1"/>
        </w:rPr>
        <w:t>єдиним податком фізичних осіб-</w:t>
      </w:r>
      <w:r w:rsidR="00E66204" w:rsidRPr="00E66204">
        <w:rPr>
          <w:color w:val="000000" w:themeColor="text1"/>
        </w:rPr>
        <w:t>підприємців І та ІІ групи</w:t>
      </w:r>
      <w:r w:rsidR="002B7575">
        <w:rPr>
          <w:color w:val="000000" w:themeColor="text1"/>
        </w:rPr>
        <w:t xml:space="preserve"> з урахуванням п</w:t>
      </w:r>
      <w:r w:rsidR="002B7575" w:rsidRPr="002B7575">
        <w:rPr>
          <w:color w:val="000000" w:themeColor="text1"/>
        </w:rPr>
        <w:t>ідпункт</w:t>
      </w:r>
      <w:r w:rsidR="002B7575">
        <w:rPr>
          <w:color w:val="000000" w:themeColor="text1"/>
        </w:rPr>
        <w:t>ів</w:t>
      </w:r>
      <w:r w:rsidR="002B7575" w:rsidRPr="002B7575">
        <w:rPr>
          <w:color w:val="000000" w:themeColor="text1"/>
        </w:rPr>
        <w:t xml:space="preserve"> 1</w:t>
      </w:r>
      <w:r w:rsidR="002F0FAE">
        <w:rPr>
          <w:color w:val="000000" w:themeColor="text1"/>
        </w:rPr>
        <w:t>, 2</w:t>
      </w:r>
      <w:r w:rsidR="002B7575" w:rsidRPr="002B7575">
        <w:rPr>
          <w:color w:val="000000" w:themeColor="text1"/>
        </w:rPr>
        <w:t xml:space="preserve"> пункту 291.4 статті 291</w:t>
      </w:r>
      <w:r w:rsidR="002B7575" w:rsidRPr="002B7575">
        <w:t xml:space="preserve"> </w:t>
      </w:r>
      <w:r w:rsidR="002B7575" w:rsidRPr="002B7575">
        <w:rPr>
          <w:color w:val="000000" w:themeColor="text1"/>
        </w:rPr>
        <w:t>Податкового кодексу України.</w:t>
      </w:r>
      <w:r w:rsidR="002B7575">
        <w:rPr>
          <w:color w:val="000000" w:themeColor="text1"/>
        </w:rPr>
        <w:t xml:space="preserve"> </w:t>
      </w:r>
    </w:p>
    <w:p w:rsidR="000B3668" w:rsidRPr="009027F1" w:rsidRDefault="000B3668" w:rsidP="001A3AA2">
      <w:pPr>
        <w:tabs>
          <w:tab w:val="left" w:pos="0"/>
          <w:tab w:val="left" w:pos="851"/>
        </w:tabs>
        <w:ind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У разі здійснення платниками єдиного податку другої групи господарської діяльності </w:t>
      </w:r>
      <w:r w:rsidR="008041BF" w:rsidRPr="008041BF">
        <w:rPr>
          <w:color w:val="000000" w:themeColor="text1"/>
        </w:rPr>
        <w:t>на територіях більш ніж однієї  сільської, селищної, міської ради</w:t>
      </w:r>
      <w:r w:rsidR="008041BF">
        <w:rPr>
          <w:color w:val="000000" w:themeColor="text1"/>
        </w:rPr>
        <w:t xml:space="preserve">, </w:t>
      </w:r>
      <w:r w:rsidRPr="009027F1">
        <w:rPr>
          <w:color w:val="000000" w:themeColor="text1"/>
        </w:rPr>
        <w:t>застосовується максимальний розмір ставки єдиного податку</w:t>
      </w:r>
      <w:r w:rsidR="00253434">
        <w:rPr>
          <w:color w:val="000000" w:themeColor="text1"/>
        </w:rPr>
        <w:t>, а саме</w:t>
      </w:r>
      <w:r w:rsidR="002F0FAE">
        <w:rPr>
          <w:color w:val="000000" w:themeColor="text1"/>
        </w:rPr>
        <w:t>:</w:t>
      </w:r>
      <w:r w:rsidRPr="009027F1">
        <w:rPr>
          <w:color w:val="000000" w:themeColor="text1"/>
        </w:rPr>
        <w:t xml:space="preserve"> 20 відсотків розміру мінімальної заробітної плати, встановленої законом на 1 січня податкового (звітного) року.</w:t>
      </w:r>
    </w:p>
    <w:p w:rsidR="000B3668" w:rsidRPr="009027F1" w:rsidRDefault="000B3668" w:rsidP="001A3AA2">
      <w:pPr>
        <w:numPr>
          <w:ilvl w:val="0"/>
          <w:numId w:val="1"/>
        </w:numPr>
        <w:tabs>
          <w:tab w:val="left" w:pos="0"/>
          <w:tab w:val="left" w:pos="851"/>
        </w:tabs>
        <w:ind w:left="0" w:right="49" w:firstLine="567"/>
        <w:jc w:val="both"/>
        <w:rPr>
          <w:color w:val="000000" w:themeColor="text1"/>
        </w:rPr>
      </w:pPr>
      <w:r w:rsidRPr="00253434">
        <w:rPr>
          <w:color w:val="000000" w:themeColor="text1"/>
        </w:rPr>
        <w:t>Податковий (звітний) період</w:t>
      </w:r>
      <w:r w:rsidRPr="009027F1">
        <w:rPr>
          <w:color w:val="000000" w:themeColor="text1"/>
        </w:rPr>
        <w:t xml:space="preserve"> для єдиного податку визначено</w:t>
      </w:r>
      <w:r w:rsidR="00E66204">
        <w:rPr>
          <w:color w:val="000000" w:themeColor="text1"/>
        </w:rPr>
        <w:t xml:space="preserve"> пунктом 294.1 статті 294 Пода</w:t>
      </w:r>
      <w:r w:rsidRPr="009027F1">
        <w:rPr>
          <w:color w:val="000000" w:themeColor="text1"/>
        </w:rPr>
        <w:t>ткового кодексу України.</w:t>
      </w:r>
    </w:p>
    <w:p w:rsidR="000B3668" w:rsidRPr="009027F1" w:rsidRDefault="000B3668" w:rsidP="001A3AA2">
      <w:pPr>
        <w:numPr>
          <w:ilvl w:val="0"/>
          <w:numId w:val="1"/>
        </w:numPr>
        <w:tabs>
          <w:tab w:val="left" w:pos="0"/>
          <w:tab w:val="left" w:pos="851"/>
        </w:tabs>
        <w:ind w:left="0" w:right="49" w:firstLine="567"/>
        <w:jc w:val="both"/>
        <w:rPr>
          <w:color w:val="000000" w:themeColor="text1"/>
        </w:rPr>
      </w:pPr>
      <w:r w:rsidRPr="00253434">
        <w:rPr>
          <w:color w:val="000000" w:themeColor="text1"/>
        </w:rPr>
        <w:t>Порядок нарахування та строки сплати</w:t>
      </w:r>
      <w:r w:rsidRPr="009027F1">
        <w:rPr>
          <w:color w:val="000000" w:themeColor="text1"/>
        </w:rPr>
        <w:t xml:space="preserve"> єдиного податку визначено</w:t>
      </w:r>
      <w:r w:rsidR="002F0FAE">
        <w:rPr>
          <w:color w:val="000000" w:themeColor="text1"/>
        </w:rPr>
        <w:t xml:space="preserve"> пунктами 295.1, 295.2</w:t>
      </w:r>
      <w:r w:rsidRPr="009027F1">
        <w:rPr>
          <w:color w:val="000000" w:themeColor="text1"/>
        </w:rPr>
        <w:t xml:space="preserve"> статт</w:t>
      </w:r>
      <w:r w:rsidR="0055528D">
        <w:rPr>
          <w:color w:val="000000" w:themeColor="text1"/>
        </w:rPr>
        <w:t>і</w:t>
      </w:r>
      <w:r w:rsidRPr="009027F1">
        <w:rPr>
          <w:color w:val="000000" w:themeColor="text1"/>
        </w:rPr>
        <w:t xml:space="preserve"> 295 Податкового кодексу України.</w:t>
      </w:r>
    </w:p>
    <w:p w:rsidR="000B3668" w:rsidRPr="009027F1" w:rsidRDefault="000B3668" w:rsidP="001A3AA2">
      <w:pPr>
        <w:numPr>
          <w:ilvl w:val="0"/>
          <w:numId w:val="1"/>
        </w:numPr>
        <w:tabs>
          <w:tab w:val="left" w:pos="0"/>
          <w:tab w:val="left" w:pos="851"/>
        </w:tabs>
        <w:ind w:left="0"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Ведення обліку і складення звітності платниками єдиного податку визначено </w:t>
      </w:r>
      <w:r w:rsidR="0055528D">
        <w:rPr>
          <w:color w:val="000000" w:themeColor="text1"/>
        </w:rPr>
        <w:t xml:space="preserve">пунктом 296.1 </w:t>
      </w:r>
      <w:r w:rsidRPr="009027F1">
        <w:rPr>
          <w:color w:val="000000" w:themeColor="text1"/>
        </w:rPr>
        <w:t>статт</w:t>
      </w:r>
      <w:r w:rsidR="0055528D">
        <w:rPr>
          <w:color w:val="000000" w:themeColor="text1"/>
        </w:rPr>
        <w:t>і</w:t>
      </w:r>
      <w:r w:rsidRPr="009027F1">
        <w:rPr>
          <w:color w:val="000000" w:themeColor="text1"/>
        </w:rPr>
        <w:t xml:space="preserve"> 296 Податкового кодексу України.</w:t>
      </w:r>
    </w:p>
    <w:p w:rsidR="000B3668" w:rsidRPr="009027F1" w:rsidRDefault="002F0FAE" w:rsidP="001A3AA2">
      <w:pPr>
        <w:numPr>
          <w:ilvl w:val="0"/>
          <w:numId w:val="1"/>
        </w:numPr>
        <w:tabs>
          <w:tab w:val="left" w:pos="0"/>
          <w:tab w:val="left" w:pos="851"/>
        </w:tabs>
        <w:ind w:left="0" w:right="49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Особливості нарахування </w:t>
      </w:r>
      <w:r w:rsidR="000B3668" w:rsidRPr="00253434">
        <w:rPr>
          <w:color w:val="000000" w:themeColor="text1"/>
        </w:rPr>
        <w:t>сплати та подання звітності</w:t>
      </w:r>
      <w:r w:rsidR="000B3668" w:rsidRPr="009027F1">
        <w:rPr>
          <w:color w:val="000000" w:themeColor="text1"/>
        </w:rPr>
        <w:t xml:space="preserve"> з окремих податків і </w:t>
      </w:r>
      <w:r>
        <w:rPr>
          <w:color w:val="000000" w:themeColor="text1"/>
        </w:rPr>
        <w:t>з</w:t>
      </w:r>
      <w:r w:rsidR="000B3668" w:rsidRPr="009027F1">
        <w:rPr>
          <w:color w:val="000000" w:themeColor="text1"/>
        </w:rPr>
        <w:t xml:space="preserve">борів платниками єдиного податку визначено </w:t>
      </w:r>
      <w:r w:rsidR="0055528D">
        <w:rPr>
          <w:color w:val="000000" w:themeColor="text1"/>
        </w:rPr>
        <w:t xml:space="preserve">пунктом 297.1 </w:t>
      </w:r>
      <w:r w:rsidR="000B3668" w:rsidRPr="009027F1">
        <w:rPr>
          <w:color w:val="000000" w:themeColor="text1"/>
        </w:rPr>
        <w:t>статт</w:t>
      </w:r>
      <w:r w:rsidR="0055528D">
        <w:rPr>
          <w:color w:val="000000" w:themeColor="text1"/>
        </w:rPr>
        <w:t>і</w:t>
      </w:r>
      <w:r w:rsidR="000B3668" w:rsidRPr="009027F1">
        <w:rPr>
          <w:color w:val="000000" w:themeColor="text1"/>
        </w:rPr>
        <w:t xml:space="preserve"> 297 Податкового кодексу України.</w:t>
      </w:r>
    </w:p>
    <w:p w:rsidR="000B3668" w:rsidRPr="009027F1" w:rsidRDefault="000B3668" w:rsidP="002F0FAE">
      <w:pPr>
        <w:numPr>
          <w:ilvl w:val="0"/>
          <w:numId w:val="1"/>
        </w:numPr>
        <w:tabs>
          <w:tab w:val="left" w:pos="0"/>
          <w:tab w:val="left" w:pos="851"/>
        </w:tabs>
        <w:ind w:left="0"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>Порядок обрання або переходу на</w:t>
      </w:r>
      <w:r w:rsidR="002F0FAE">
        <w:rPr>
          <w:color w:val="000000" w:themeColor="text1"/>
        </w:rPr>
        <w:t xml:space="preserve"> спрощену систему оподаткування</w:t>
      </w:r>
      <w:r w:rsidRPr="009027F1">
        <w:rPr>
          <w:color w:val="000000" w:themeColor="text1"/>
        </w:rPr>
        <w:t xml:space="preserve"> або відмови від спрощеної системи оподаткування визначено </w:t>
      </w:r>
      <w:r w:rsidR="0055528D">
        <w:rPr>
          <w:color w:val="000000" w:themeColor="text1"/>
        </w:rPr>
        <w:t xml:space="preserve">пунктом 298.1 </w:t>
      </w:r>
      <w:r w:rsidRPr="009027F1">
        <w:rPr>
          <w:color w:val="000000" w:themeColor="text1"/>
        </w:rPr>
        <w:t>статт</w:t>
      </w:r>
      <w:r w:rsidR="0055528D">
        <w:rPr>
          <w:color w:val="000000" w:themeColor="text1"/>
        </w:rPr>
        <w:t>і</w:t>
      </w:r>
      <w:r w:rsidRPr="009027F1">
        <w:rPr>
          <w:color w:val="000000" w:themeColor="text1"/>
        </w:rPr>
        <w:t> 298 Податкового кодексу України.</w:t>
      </w:r>
    </w:p>
    <w:p w:rsidR="000B3668" w:rsidRPr="009027F1" w:rsidRDefault="000B3668" w:rsidP="002F0FAE">
      <w:pPr>
        <w:numPr>
          <w:ilvl w:val="0"/>
          <w:numId w:val="1"/>
        </w:numPr>
        <w:tabs>
          <w:tab w:val="left" w:pos="851"/>
          <w:tab w:val="left" w:pos="993"/>
        </w:tabs>
        <w:ind w:left="0"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>Порядок реєстрації та анулювання реєстрації платників єдиного</w:t>
      </w:r>
      <w:r w:rsidR="00253434">
        <w:rPr>
          <w:color w:val="000000" w:themeColor="text1"/>
        </w:rPr>
        <w:t xml:space="preserve"> </w:t>
      </w:r>
      <w:r w:rsidRPr="009027F1">
        <w:rPr>
          <w:color w:val="000000" w:themeColor="text1"/>
        </w:rPr>
        <w:t>податку визначено статтею 299 Податкового кодексу України.</w:t>
      </w:r>
    </w:p>
    <w:p w:rsidR="00AB59A9" w:rsidRPr="00253434" w:rsidRDefault="000B3668" w:rsidP="002F0FA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ind w:left="0" w:right="49" w:firstLine="567"/>
        <w:contextualSpacing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AB59A9">
        <w:rPr>
          <w:color w:val="000000" w:themeColor="text1"/>
        </w:rPr>
        <w:t>Відповідальність платника єдиного податку визначено статтею 300 Податкового кодексу України</w:t>
      </w:r>
      <w:r w:rsidR="00F50AAD">
        <w:rPr>
          <w:color w:val="000000" w:themeColor="text1"/>
        </w:rPr>
        <w:t>.</w:t>
      </w:r>
    </w:p>
    <w:p w:rsidR="00253434" w:rsidRPr="002F0FAE" w:rsidRDefault="00253434" w:rsidP="002F0FAE">
      <w:pPr>
        <w:widowControl w:val="0"/>
        <w:ind w:right="-182"/>
        <w:contextualSpacing/>
        <w:jc w:val="both"/>
        <w:rPr>
          <w:b/>
          <w:color w:val="000000" w:themeColor="text1"/>
        </w:rPr>
      </w:pPr>
    </w:p>
    <w:p w:rsidR="002F0FAE" w:rsidRDefault="002F0FAE" w:rsidP="002F0FAE">
      <w:pPr>
        <w:widowControl w:val="0"/>
        <w:tabs>
          <w:tab w:val="left" w:pos="7088"/>
        </w:tabs>
        <w:ind w:right="-182"/>
        <w:contextualSpacing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0D4A9D" w:rsidRDefault="000D4A9D" w:rsidP="002F0FAE">
      <w:pPr>
        <w:widowControl w:val="0"/>
        <w:tabs>
          <w:tab w:val="left" w:pos="7088"/>
        </w:tabs>
        <w:ind w:right="-182"/>
        <w:contextualSpacing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AB59A9">
        <w:rPr>
          <w:rFonts w:ascii="Times New Roman" w:hAnsi="Times New Roman"/>
          <w:b/>
          <w:bCs/>
          <w:color w:val="000000" w:themeColor="text1"/>
          <w:szCs w:val="28"/>
        </w:rPr>
        <w:t>Секретар ради</w:t>
      </w:r>
      <w:r w:rsidR="001A3AA2">
        <w:rPr>
          <w:rFonts w:ascii="Times New Roman" w:hAnsi="Times New Roman"/>
          <w:b/>
          <w:bCs/>
          <w:color w:val="000000" w:themeColor="text1"/>
          <w:szCs w:val="28"/>
        </w:rPr>
        <w:tab/>
      </w:r>
      <w:r w:rsidRPr="00AB59A9">
        <w:rPr>
          <w:rFonts w:ascii="Times New Roman" w:hAnsi="Times New Roman"/>
          <w:b/>
          <w:bCs/>
          <w:color w:val="000000" w:themeColor="text1"/>
          <w:szCs w:val="28"/>
        </w:rPr>
        <w:t>Світлана ГОРОШКО</w:t>
      </w:r>
    </w:p>
    <w:p w:rsidR="002F0FAE" w:rsidRDefault="002F0FAE" w:rsidP="002F0FAE">
      <w:pPr>
        <w:pStyle w:val="a8"/>
        <w:tabs>
          <w:tab w:val="left" w:pos="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D4A9D" w:rsidRDefault="000D4A9D" w:rsidP="002F0FAE">
      <w:pPr>
        <w:pStyle w:val="a8"/>
        <w:tabs>
          <w:tab w:val="left" w:pos="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фінансового управління </w:t>
      </w:r>
    </w:p>
    <w:p w:rsidR="000D4A9D" w:rsidRDefault="000D4A9D" w:rsidP="002F0FAE">
      <w:pPr>
        <w:pStyle w:val="a8"/>
        <w:tabs>
          <w:tab w:val="left" w:pos="0"/>
          <w:tab w:val="left" w:pos="7088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 міської ради</w:t>
      </w:r>
      <w:r w:rsidR="001A3AA2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Людмила ЧИЧИНА</w:t>
      </w:r>
    </w:p>
    <w:p w:rsidR="000D4A9D" w:rsidRDefault="000D4A9D" w:rsidP="000D4A9D"/>
    <w:p w:rsidR="000D4A9D" w:rsidRDefault="000D4A9D" w:rsidP="000D4A9D">
      <w:pPr>
        <w:widowControl w:val="0"/>
        <w:spacing w:after="120" w:line="276" w:lineRule="auto"/>
        <w:ind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0D4A9D" w:rsidRDefault="000D4A9D" w:rsidP="000D4A9D">
      <w:pPr>
        <w:widowControl w:val="0"/>
        <w:spacing w:after="120" w:line="276" w:lineRule="auto"/>
        <w:ind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0D4A9D" w:rsidRDefault="000D4A9D" w:rsidP="000D4A9D">
      <w:pPr>
        <w:widowControl w:val="0"/>
        <w:spacing w:after="120" w:line="276" w:lineRule="auto"/>
        <w:ind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  <w:sectPr w:rsidR="000D4A9D" w:rsidSect="00F50AAD">
          <w:headerReference w:type="default" r:id="rId8"/>
          <w:pgSz w:w="12240" w:h="15840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B67ED6" w:rsidRDefault="00B67ED6" w:rsidP="00AB59A9">
      <w:pPr>
        <w:widowControl w:val="0"/>
        <w:spacing w:after="120" w:line="276" w:lineRule="auto"/>
        <w:ind w:left="720"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B67ED6">
        <w:rPr>
          <w:noProof/>
          <w:lang w:val="ru-RU"/>
        </w:rPr>
        <w:lastRenderedPageBreak/>
        <w:drawing>
          <wp:inline distT="0" distB="0" distL="0" distR="0">
            <wp:extent cx="5829300" cy="1238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D6" w:rsidRPr="00C215B5" w:rsidRDefault="00C215B5" w:rsidP="00C215B5">
      <w:pPr>
        <w:widowControl w:val="0"/>
        <w:spacing w:after="120" w:line="276" w:lineRule="auto"/>
        <w:ind w:left="720" w:right="-18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15B5">
        <w:rPr>
          <w:rFonts w:ascii="Times New Roman" w:hAnsi="Times New Roman"/>
          <w:b/>
          <w:noProof/>
          <w:sz w:val="24"/>
          <w:szCs w:val="24"/>
          <w:lang w:val="ru-RU" w:eastAsia="uk-UA"/>
        </w:rPr>
        <w:t>(введені в дію з 01.01.2026)</w:t>
      </w: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B67ED6" w:rsidRPr="00B67ED6" w:rsidTr="00F50AAD">
        <w:trPr>
          <w:trHeight w:val="375"/>
        </w:trPr>
        <w:tc>
          <w:tcPr>
            <w:tcW w:w="2283" w:type="dxa"/>
            <w:hideMark/>
          </w:tcPr>
          <w:p w:rsidR="00B67ED6" w:rsidRPr="00B67ED6" w:rsidRDefault="00B67ED6" w:rsidP="00B67ED6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bookmarkStart w:id="1" w:name="_Hlk192583678"/>
            <w:r w:rsidRPr="00B67ED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D6" w:rsidRPr="00B67ED6" w:rsidRDefault="00B67ED6" w:rsidP="00B67ED6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</w:pPr>
            <w:r w:rsidRPr="00B67ED6"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  <w:t>1854300000</w:t>
            </w:r>
          </w:p>
        </w:tc>
      </w:tr>
    </w:tbl>
    <w:p w:rsidR="00B67ED6" w:rsidRPr="00B67ED6" w:rsidRDefault="00B67ED6" w:rsidP="00B67ED6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997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226"/>
        <w:gridCol w:w="5680"/>
      </w:tblGrid>
      <w:tr w:rsidR="00B67ED6" w:rsidRPr="00B67ED6" w:rsidTr="002F0FAE">
        <w:trPr>
          <w:trHeight w:val="373"/>
          <w:tblHeader/>
        </w:trPr>
        <w:tc>
          <w:tcPr>
            <w:tcW w:w="1609" w:type="pct"/>
            <w:shd w:val="clear" w:color="auto" w:fill="FFFFFF"/>
          </w:tcPr>
          <w:p w:rsidR="00B67ED6" w:rsidRPr="00B67ED6" w:rsidRDefault="00B67ED6" w:rsidP="00B67ED6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391" w:type="pct"/>
            <w:gridSpan w:val="2"/>
            <w:vMerge w:val="restart"/>
            <w:shd w:val="clear" w:color="auto" w:fill="FFFFFF"/>
            <w:vAlign w:val="center"/>
            <w:hideMark/>
          </w:tcPr>
          <w:p w:rsidR="00B67ED6" w:rsidRPr="00F50AAD" w:rsidRDefault="00B67ED6" w:rsidP="00B67ED6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</w:pPr>
            <w:r w:rsidRPr="00F50AA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t>Адміністративно-територіальні одиниці,</w:t>
            </w:r>
            <w:r w:rsidRPr="00F50AA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br/>
              <w:t>для яких встановлені ставки</w:t>
            </w:r>
          </w:p>
        </w:tc>
      </w:tr>
      <w:tr w:rsidR="00B67ED6" w:rsidRPr="00B67ED6" w:rsidTr="002F0FAE">
        <w:trPr>
          <w:trHeight w:val="493"/>
          <w:tblHeader/>
        </w:trPr>
        <w:tc>
          <w:tcPr>
            <w:tcW w:w="1609" w:type="pct"/>
            <w:shd w:val="clear" w:color="auto" w:fill="FFFFFF"/>
          </w:tcPr>
          <w:p w:rsidR="00B67ED6" w:rsidRPr="00F50AAD" w:rsidRDefault="00B67ED6" w:rsidP="00B67ED6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3391" w:type="pct"/>
            <w:gridSpan w:val="2"/>
            <w:vMerge/>
            <w:shd w:val="clear" w:color="auto" w:fill="FFFFFF"/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shd w:val="clear" w:color="auto" w:fill="FFFFFF"/>
            <w:noWrap/>
            <w:vAlign w:val="center"/>
            <w:hideMark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B67E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 згідно з КАТОТТГ</w:t>
            </w:r>
          </w:p>
        </w:tc>
        <w:tc>
          <w:tcPr>
            <w:tcW w:w="602" w:type="pct"/>
            <w:shd w:val="clear" w:color="auto" w:fill="FFFFFF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789" w:type="pct"/>
            <w:shd w:val="clear" w:color="auto" w:fill="FFFFFF"/>
            <w:noWrap/>
            <w:vAlign w:val="center"/>
            <w:hideMark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B67E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shd w:val="clear" w:color="auto" w:fill="FFFFFF"/>
            <w:noWrap/>
            <w:vAlign w:val="center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</w:pPr>
            <w:r w:rsidRPr="00B67ED6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  <w:t>UA59080110000034361</w:t>
            </w:r>
          </w:p>
        </w:tc>
        <w:tc>
          <w:tcPr>
            <w:tcW w:w="602" w:type="pct"/>
            <w:shd w:val="clear" w:color="auto" w:fill="FFFFFF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2789" w:type="pct"/>
            <w:shd w:val="clear" w:color="auto" w:fill="FFFFFF"/>
            <w:noWrap/>
            <w:vAlign w:val="center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</w:pPr>
            <w:r w:rsidRPr="00B67ED6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  <w:t>Лебединська міська територіальна громада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bookmarkStart w:id="2" w:name="_Hlk192081328"/>
            <w:bookmarkStart w:id="3" w:name="_Hlk192081773"/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UA59080110010031484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місто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Лебедин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UA59080110020097732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Байрак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UA59080110030092027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Барабашівка</w:t>
            </w:r>
          </w:p>
        </w:tc>
      </w:tr>
      <w:bookmarkEnd w:id="2"/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UA59080110040077641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Басівщина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UA59080110050026282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Березів Яр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UA59080110060052227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Бишкінь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UA59080110070090252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Боброве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UA59080110080015324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Бойки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UA59080110090017006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Боровенька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UA59080110100024702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Будилка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UA59080110110061794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Букати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UA59080110120057358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Бурівка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UA59080110130016902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Валки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UA59080110140046800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Василівка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UA59080110150058671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Великий Вистороп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UA59080110160098622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Великі Луки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UA59080110170059626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Вершина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UA59080110180098651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Вільшанка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UA59080110190098794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Влізьки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UA59080110200095288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Ворожба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UA59080110210083507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Галушки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UA59080110220012296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Гамаліївка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UA59080110230049852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Гарбарі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UA59080110240045885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Гарбузівка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UA59080110250097971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Гірки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UA59080110260032465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Гостробури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UA59080110270033435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Грабці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UA59080110280031893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Гринцеве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UA59080110290013586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Грицини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UA59080110300019831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Грунь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UA59080110310087296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Грушеве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UA59080110320036518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Гудимівка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UA59080110330086695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Гутницьке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UA59080110340072473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Даценківка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UA59080110350060490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Дігтярі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UA59080110360095198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Дмитрівка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UA59080110370069254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Дремлюги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UA59080110380069976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Дружне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UA59080110390011511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Забуги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UA59080110400038686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Зелений Гай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UA59080110410076184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Калюжне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UA59080110420085729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Кам’яне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UA59080110430082702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Караван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UA59080110440032668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Катеринівка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UA59080110450092286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Кердилівщина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UA59080110460015717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Ключинівка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UA59080110470069602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Корчани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UA59080110480055551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Костів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UA59080110490017975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Куданівка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UA59080110500050807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Кулики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UA59080110510046715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Куличка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UA59080110520062228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Курган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UA59080110530059518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Курилівка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UA59080110540089260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Лифине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UA59080110550060145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Лободівщина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UA59080110560091114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Лозово-Грушеве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UA59080110570056867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Ляшки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UA59080110580074548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Майдаки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UA59080110590024925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Малий Вистороп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UA59080110600047937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Мартинці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UA59080110610072144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Марусенкове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UA59080110620062488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Межиріч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UA59080110630052130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Мирне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UA59080110640047723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Миронівщина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UA59080110650011221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Михайлівка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UA59080110660050428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Лебединий Бобрик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UA59080110670050055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Новоселівка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UA59080110680096127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Новосільське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UA59080110690094377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Овдянське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UA59080110700032494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Олександрівка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UA59080110710080828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Олексенкове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UA59080110720038138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Олексіївка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UA59080110730060479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Павленкове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UA59080110740020489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Падалки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UA59080110750040618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Панченки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UA59080110760095702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Парфили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UA59080110770079369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Патріотівка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UA59080110780054207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Пашкине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UA59080110790066809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Переліски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UA59080110800097150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Північне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UA59080110810020899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Підопригори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UA59080110820024580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Підсулля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UA59080110830058272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Пісківка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UA59080110840056065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Плетньове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UA59080110850050107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Помірки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UA59080110860029564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Пристайлове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UA59080110870055201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Протопопівщина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UA59080110880084985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Радчуки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UA59080110890096238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Ревки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UA59080110900094838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Руда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UA59080110910074829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Рябушки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UA59080110920028275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Савенки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UA59080110930060967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Селище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UA59080110940082624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Семенівка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UA59080110950021050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Ситники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UA59080110960092293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Сіренки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UA59080110970070624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Слобода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UA59080110980095523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Софіївка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UA59080110990061321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Старонове</w:t>
            </w:r>
          </w:p>
        </w:tc>
      </w:tr>
      <w:bookmarkEnd w:id="3"/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UA59080111000092834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Стеблянки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UA59080111010051333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Степне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UA59080111020048805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Степове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UA59080111030050011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Ступки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UA59080111040062313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Супруни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UA59080111050012947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Токарі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UA59080111060017963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Топчії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UA59080111070034392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Тригуби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UA59080111080025160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Харченки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UA59080111090066429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Хилькове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UA59080111100075435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Червлене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UA59080111110065628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Червоне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UA59080111120094015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Черемухівка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UA59080111130034326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Чернецьке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UA59080111140074472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Чернишки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UA59080111150085370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Чижове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UA59080111160046806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Шевченкове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UA59080111170015117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Штепівка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UA59080111180042198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Шумили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UA59080111190028625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Щетини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UA59080111200046193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Яроші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UA59080111210062768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Яснопілля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UA59080111220090906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6" w:rsidRPr="00B67ED6" w:rsidRDefault="009E445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67ED6"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Залізничне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UA59080111230066201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6" w:rsidRPr="00B67ED6" w:rsidRDefault="009E445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67ED6"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Мирне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UA59080111240098493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6" w:rsidRPr="00B67ED6" w:rsidRDefault="009E445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67ED6"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Новопетрівка</w:t>
            </w:r>
          </w:p>
        </w:tc>
      </w:tr>
      <w:tr w:rsidR="00B67ED6" w:rsidRPr="00B67ED6" w:rsidTr="00F50AAD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UA59080111250052845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сел</w:t>
            </w:r>
            <w:r w:rsidR="009E4456"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ED6" w:rsidRPr="00B67ED6" w:rsidRDefault="00B67ED6" w:rsidP="00B67E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B67ED6">
              <w:rPr>
                <w:rFonts w:ascii="Times New Roman" w:hAnsi="Times New Roman"/>
                <w:color w:val="000000"/>
                <w:sz w:val="22"/>
                <w:szCs w:val="22"/>
              </w:rPr>
              <w:t>Андріївське</w:t>
            </w:r>
          </w:p>
        </w:tc>
      </w:tr>
      <w:bookmarkEnd w:id="1"/>
    </w:tbl>
    <w:p w:rsidR="00B67ED6" w:rsidRPr="00B67ED6" w:rsidRDefault="00B67ED6" w:rsidP="00B67ED6">
      <w:pPr>
        <w:jc w:val="center"/>
        <w:rPr>
          <w:b/>
          <w:bCs/>
          <w:color w:val="000000" w:themeColor="text1"/>
        </w:rPr>
      </w:pPr>
    </w:p>
    <w:tbl>
      <w:tblPr>
        <w:tblW w:w="48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74"/>
        <w:gridCol w:w="5073"/>
        <w:gridCol w:w="2124"/>
        <w:gridCol w:w="1644"/>
      </w:tblGrid>
      <w:tr w:rsidR="00B67ED6" w:rsidRPr="00B67ED6" w:rsidTr="00F50AAD">
        <w:trPr>
          <w:trHeight w:val="20"/>
        </w:trPr>
        <w:tc>
          <w:tcPr>
            <w:tcW w:w="3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 xml:space="preserve">Вид економічної діяльності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згідно з КВЕД ДК 009:2010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(наказ Державного комітету з питань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технічного регулювання та споживчої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>політики від 11 жовтня 2010 р. № 457)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 xml:space="preserve">Ставка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br/>
              <w:t xml:space="preserve">єдиного податку, % до розміру прожиткового мінімуму для працездатних осіб, встановленого законом на 1 січня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lastRenderedPageBreak/>
              <w:t xml:space="preserve">податкового </w:t>
            </w:r>
          </w:p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(звітного) року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lastRenderedPageBreak/>
              <w:t>Період застосування ставки</w:t>
            </w:r>
          </w:p>
        </w:tc>
      </w:tr>
      <w:tr w:rsidR="00B67ED6" w:rsidRPr="00B67ED6" w:rsidTr="00F50AAD">
        <w:trPr>
          <w:trHeight w:val="507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 xml:space="preserve">код секції або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br/>
              <w:t xml:space="preserve">виду </w:t>
            </w: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lastRenderedPageBreak/>
              <w:t>економічної діяльності</w:t>
            </w:r>
            <w:r w:rsidRPr="002F0FAE">
              <w:rPr>
                <w:rFonts w:ascii="Times New Roman" w:hAnsi="Times New Roman"/>
                <w:b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2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ED6" w:rsidRPr="002F0FAE" w:rsidRDefault="00B67ED6" w:rsidP="00B67ED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2F0F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lastRenderedPageBreak/>
              <w:t>назва секції або виду економічної діяльності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B67ED6" w:rsidRPr="00B67ED6" w:rsidTr="00F50AAD">
        <w:trPr>
          <w:trHeight w:val="507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2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D6" w:rsidRPr="00F50AAD" w:rsidRDefault="00B67ED6" w:rsidP="00B67E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B67ED6" w:rsidRPr="00B67ED6" w:rsidTr="00F5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2" w:type="pct"/>
            <w:vAlign w:val="center"/>
          </w:tcPr>
          <w:p w:rsidR="00B67ED6" w:rsidRPr="00B67ED6" w:rsidRDefault="00B67ED6" w:rsidP="00B67ED6">
            <w:pPr>
              <w:jc w:val="center"/>
              <w:rPr>
                <w:color w:val="000000" w:themeColor="text1"/>
              </w:rPr>
            </w:pPr>
            <w:r w:rsidRPr="00B67ED6">
              <w:rPr>
                <w:color w:val="000000" w:themeColor="text1"/>
              </w:rPr>
              <w:t>00.00</w:t>
            </w:r>
          </w:p>
        </w:tc>
        <w:tc>
          <w:tcPr>
            <w:tcW w:w="2558" w:type="pct"/>
            <w:vAlign w:val="bottom"/>
          </w:tcPr>
          <w:p w:rsidR="00B67ED6" w:rsidRPr="00B67ED6" w:rsidRDefault="00B67ED6" w:rsidP="00B67ED6">
            <w:pPr>
              <w:jc w:val="both"/>
              <w:rPr>
                <w:b/>
                <w:bCs/>
                <w:color w:val="000000" w:themeColor="text1"/>
              </w:rPr>
            </w:pPr>
            <w:r w:rsidRPr="00B67ED6">
              <w:rPr>
                <w:color w:val="000000" w:themeColor="text1"/>
              </w:rPr>
              <w:t>Роздрібний продаж товарів з торговельних місць на ринках та/або надання побутових послуг населенню</w:t>
            </w:r>
          </w:p>
        </w:tc>
        <w:tc>
          <w:tcPr>
            <w:tcW w:w="1071" w:type="pct"/>
            <w:vAlign w:val="center"/>
          </w:tcPr>
          <w:p w:rsidR="00B67ED6" w:rsidRPr="00B67ED6" w:rsidRDefault="00B67ED6" w:rsidP="00B67ED6">
            <w:pPr>
              <w:jc w:val="center"/>
              <w:rPr>
                <w:color w:val="000000" w:themeColor="text1"/>
              </w:rPr>
            </w:pPr>
            <w:r w:rsidRPr="00B67ED6">
              <w:rPr>
                <w:color w:val="000000" w:themeColor="text1"/>
              </w:rPr>
              <w:t>10</w:t>
            </w:r>
          </w:p>
        </w:tc>
        <w:tc>
          <w:tcPr>
            <w:tcW w:w="829" w:type="pct"/>
            <w:vAlign w:val="center"/>
          </w:tcPr>
          <w:p w:rsidR="00B67ED6" w:rsidRPr="00B67ED6" w:rsidRDefault="00B67ED6" w:rsidP="00B67ED6">
            <w:pPr>
              <w:jc w:val="center"/>
              <w:rPr>
                <w:color w:val="000000" w:themeColor="text1"/>
              </w:rPr>
            </w:pPr>
            <w:r w:rsidRPr="00B67ED6">
              <w:rPr>
                <w:color w:val="000000" w:themeColor="text1"/>
              </w:rPr>
              <w:t>01.01.2026</w:t>
            </w:r>
          </w:p>
        </w:tc>
      </w:tr>
    </w:tbl>
    <w:p w:rsidR="00B67ED6" w:rsidRDefault="00B67ED6" w:rsidP="00AB59A9">
      <w:pPr>
        <w:widowControl w:val="0"/>
        <w:spacing w:after="120" w:line="276" w:lineRule="auto"/>
        <w:ind w:left="720"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2F0FAE" w:rsidRDefault="002F0FAE" w:rsidP="002F0FAE">
      <w:pPr>
        <w:widowControl w:val="0"/>
        <w:spacing w:after="120" w:line="276" w:lineRule="auto"/>
        <w:ind w:left="720" w:right="-182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______________</w:t>
      </w:r>
    </w:p>
    <w:p w:rsidR="00F50AAD" w:rsidRDefault="00F50AAD" w:rsidP="00AB59A9">
      <w:pPr>
        <w:widowControl w:val="0"/>
        <w:spacing w:after="120" w:line="276" w:lineRule="auto"/>
        <w:ind w:left="720"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  <w:sectPr w:rsidR="00F50AAD" w:rsidSect="00F50AAD">
          <w:headerReference w:type="default" r:id="rId10"/>
          <w:pgSz w:w="12240" w:h="15840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B67ED6" w:rsidRDefault="006876C1" w:rsidP="00C00549">
      <w:pPr>
        <w:widowControl w:val="0"/>
        <w:spacing w:after="120" w:line="276" w:lineRule="auto"/>
        <w:ind w:left="720" w:right="-18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8870D6">
        <w:rPr>
          <w:noProof/>
          <w:sz w:val="52"/>
          <w:szCs w:val="52"/>
          <w:lang w:val="ru-RU"/>
        </w:rPr>
        <w:lastRenderedPageBreak/>
        <w:drawing>
          <wp:inline distT="0" distB="0" distL="0" distR="0">
            <wp:extent cx="5619115" cy="109293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03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4268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6876C1" w:rsidRPr="006876C1" w:rsidTr="00274880">
        <w:trPr>
          <w:trHeight w:val="375"/>
        </w:trPr>
        <w:tc>
          <w:tcPr>
            <w:tcW w:w="2283" w:type="dxa"/>
            <w:hideMark/>
          </w:tcPr>
          <w:p w:rsidR="006876C1" w:rsidRPr="006876C1" w:rsidRDefault="006876C1" w:rsidP="00274880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876C1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C1" w:rsidRPr="006876C1" w:rsidRDefault="006876C1" w:rsidP="00274880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</w:pPr>
            <w:r w:rsidRPr="006876C1"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  <w:t>1854300000</w:t>
            </w:r>
          </w:p>
        </w:tc>
      </w:tr>
    </w:tbl>
    <w:p w:rsidR="00274880" w:rsidRPr="00C215B5" w:rsidRDefault="00274880" w:rsidP="00274880">
      <w:pPr>
        <w:widowControl w:val="0"/>
        <w:spacing w:after="120" w:line="276" w:lineRule="auto"/>
        <w:ind w:left="720" w:right="-18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  <w:lang w:val="en-AU" w:eastAsia="uk-UA"/>
        </w:rPr>
        <w:br w:type="textWrapping" w:clear="all"/>
      </w:r>
      <w:r w:rsidRPr="00C215B5">
        <w:rPr>
          <w:rFonts w:ascii="Times New Roman" w:hAnsi="Times New Roman"/>
          <w:b/>
          <w:noProof/>
          <w:sz w:val="24"/>
          <w:szCs w:val="24"/>
          <w:lang w:val="ru-RU" w:eastAsia="uk-UA"/>
        </w:rPr>
        <w:t>(введені в дію з 01.01.2026)</w:t>
      </w:r>
    </w:p>
    <w:p w:rsidR="006876C1" w:rsidRPr="006876C1" w:rsidRDefault="006876C1" w:rsidP="006876C1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997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226"/>
        <w:gridCol w:w="5680"/>
      </w:tblGrid>
      <w:tr w:rsidR="006876C1" w:rsidRPr="006876C1" w:rsidTr="00C00549">
        <w:trPr>
          <w:trHeight w:val="373"/>
          <w:tblHeader/>
        </w:trPr>
        <w:tc>
          <w:tcPr>
            <w:tcW w:w="1609" w:type="pct"/>
            <w:shd w:val="clear" w:color="auto" w:fill="FFFFFF"/>
          </w:tcPr>
          <w:p w:rsidR="006876C1" w:rsidRPr="006876C1" w:rsidRDefault="006876C1" w:rsidP="006876C1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391" w:type="pct"/>
            <w:gridSpan w:val="2"/>
            <w:vMerge w:val="restart"/>
            <w:shd w:val="clear" w:color="auto" w:fill="FFFFFF"/>
            <w:vAlign w:val="center"/>
            <w:hideMark/>
          </w:tcPr>
          <w:p w:rsidR="006876C1" w:rsidRPr="00F50AAD" w:rsidRDefault="006876C1" w:rsidP="006876C1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</w:pPr>
            <w:r w:rsidRPr="00F50AA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t>Адміністративно-територіальні одиниці,</w:t>
            </w:r>
            <w:r w:rsidRPr="00F50AA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br/>
              <w:t>для яких встановлені ставки</w:t>
            </w:r>
          </w:p>
        </w:tc>
      </w:tr>
      <w:tr w:rsidR="006876C1" w:rsidRPr="006876C1" w:rsidTr="00C00549">
        <w:trPr>
          <w:trHeight w:val="493"/>
          <w:tblHeader/>
        </w:trPr>
        <w:tc>
          <w:tcPr>
            <w:tcW w:w="1609" w:type="pct"/>
            <w:shd w:val="clear" w:color="auto" w:fill="FFFFFF"/>
          </w:tcPr>
          <w:p w:rsidR="006876C1" w:rsidRPr="00F50AAD" w:rsidRDefault="006876C1" w:rsidP="006876C1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3391" w:type="pct"/>
            <w:gridSpan w:val="2"/>
            <w:vMerge/>
            <w:shd w:val="clear" w:color="auto" w:fill="FFFFFF"/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shd w:val="clear" w:color="auto" w:fill="FFFFFF"/>
            <w:noWrap/>
            <w:vAlign w:val="center"/>
            <w:hideMark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Cs w:val="28"/>
                <w:lang w:val="en-AU" w:eastAsia="uk-UA"/>
              </w:rPr>
            </w:pPr>
            <w:r w:rsidRPr="006876C1">
              <w:rPr>
                <w:rFonts w:ascii="Times New Roman" w:hAnsi="Times New Roman"/>
                <w:b/>
                <w:bCs/>
                <w:noProof/>
                <w:spacing w:val="-4"/>
                <w:szCs w:val="28"/>
                <w:lang w:val="en-AU" w:eastAsia="uk-UA"/>
              </w:rPr>
              <w:t>код згідно з КАТОТТГ</w:t>
            </w:r>
          </w:p>
        </w:tc>
        <w:tc>
          <w:tcPr>
            <w:tcW w:w="602" w:type="pct"/>
            <w:shd w:val="clear" w:color="auto" w:fill="FFFFFF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789" w:type="pct"/>
            <w:shd w:val="clear" w:color="auto" w:fill="FFFFFF"/>
            <w:noWrap/>
            <w:vAlign w:val="center"/>
            <w:hideMark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Cs w:val="28"/>
                <w:lang w:val="en-AU" w:eastAsia="uk-UA"/>
              </w:rPr>
            </w:pPr>
            <w:r w:rsidRPr="006876C1">
              <w:rPr>
                <w:rFonts w:ascii="Times New Roman" w:hAnsi="Times New Roman"/>
                <w:b/>
                <w:bCs/>
                <w:noProof/>
                <w:spacing w:val="-4"/>
                <w:szCs w:val="28"/>
                <w:lang w:val="en-AU" w:eastAsia="uk-UA"/>
              </w:rPr>
              <w:t>назва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shd w:val="clear" w:color="auto" w:fill="FFFFFF"/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</w:pPr>
            <w:r w:rsidRPr="006876C1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  <w:t>UA59080110000034361</w:t>
            </w:r>
          </w:p>
        </w:tc>
        <w:tc>
          <w:tcPr>
            <w:tcW w:w="602" w:type="pct"/>
            <w:shd w:val="clear" w:color="auto" w:fill="FFFFFF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2789" w:type="pct"/>
            <w:shd w:val="clear" w:color="auto" w:fill="FFFFFF"/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</w:pPr>
            <w:r w:rsidRPr="006876C1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  <w:t>Лебединська міська територіальна громада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UA59080110010031484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місто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Лебедин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UA59080110020097732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Байрак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UA59080110030092027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Барабашівка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UA59080110040077641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Басівщина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UA59080110050026282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Березів Яр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UA59080110060052227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Бишкінь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UA59080110070090252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Боброве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UA59080110080015324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Бойки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UA59080110090017006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Боровенька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UA59080110100024702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Будилка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UA59080110110061794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Букати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UA59080110120057358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Бурівка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UA59080110130016902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Валки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UA59080110140046800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Василівка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UA59080110150058671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Великий Вистороп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UA59080110160098622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Великі Луки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UA59080110170059626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Вершина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UA59080110180098651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Вільшанка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UA59080110190098794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Влізьки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UA59080110200095288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Ворожба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UA59080110210083507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Галушки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UA59080110220012296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Гамаліївка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UA59080110230049852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Гарбарі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UA59080110240045885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Гарбузівка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UA59080110250097971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Гірки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UA59080110260032465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Гостробури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UA59080110270033435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Грабці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UA59080110280031893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Гринцеве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UA59080110290013586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Грицини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UA59080110300019831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Грунь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UA59080110310087296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Грушеве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UA59080110320036518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Гудимівка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UA59080110330086695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Гутницьке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UA59080110340072473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Даценківка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UA59080110350060490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Дігтярі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UA59080110360095198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Дмитрівка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UA59080110370069254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Дремлюги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UA59080110380069976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Дружне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UA59080110390011511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Забуги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UA59080110400038686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Зелений Гай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UA59080110410076184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Калюжне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UA59080110420085729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Кам’яне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UA59080110430082702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Караван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UA59080110440032668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Катеринівка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UA59080110450092286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Кердилівщина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UA59080110460015717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Ключинівка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UA59080110470069602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Корчани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UA59080110480055551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Костів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UA59080110490017975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Куданівка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UA59080110500050807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Кулики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UA59080110510046715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Куличка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UA59080110520062228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Курган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UA59080110530059518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Курилівка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UA59080110540089260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Лифине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UA59080110550060145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Лободівщина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UA59080110560091114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Лозово-Грушеве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UA59080110570056867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Ляшки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UA59080110580074548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Майдаки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UA59080110590024925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Малий Вистороп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UA59080110600047937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Мартинці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UA59080110610072144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Марусенкове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UA59080110620062488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Межиріч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UA59080110630052130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Мирне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UA59080110640047723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Миронівщина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UA59080110650011221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Михайлівка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UA59080110660050428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Лебединий Бобрик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UA59080110670050055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Новоселівка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UA59080110680096127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Новосільське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UA59080110690094377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Овдянське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UA59080110700032494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Олександрівка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UA59080110710080828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Олексенкове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UA59080110720038138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Олексіївка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UA59080110730060479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Павленкове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UA59080110740020489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Падалки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UA59080110750040618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Панченки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UA59080110760095702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Парфили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UA59080110770079369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Патріотівка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UA59080110780054207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Пашкине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UA59080110790066809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Переліски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UA59080110800097150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Північне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UA59080110810020899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Підопригори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UA59080110820024580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Підсулля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UA59080110830058272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Пісківка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UA59080110840056065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Плетньове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UA59080110850050107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Помірки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UA59080110860029564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Пристайлове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UA59080110870055201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Протопопівщина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UA59080110880084985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Радчуки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UA59080110890096238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Ревки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UA59080110900094838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Руда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UA59080110910074829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Рябушки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UA59080110920028275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Савенки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UA59080110930060967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Селище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UA59080110940082624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Семенівка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UA59080110950021050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Ситники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UA59080110960092293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Сіренки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UA59080110970070624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Слобода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UA59080110980095523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Софіївка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UA59080110990061321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Старонове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UA59080111000092834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Стеблянки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UA59080111010051333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Степне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UA59080111020048805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Степове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UA59080111030050011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Ступки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UA59080111040062313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Супруни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UA59080111050012947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Токарі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UA59080111060017963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Топчії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UA59080111070034392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Тригуби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UA59080111080025160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Харченки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UA59080111090066429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Хилькове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UA59080111100075435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Червлене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UA59080111110065628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Червоне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UA59080111120094015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Черемухівка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UA59080111130034326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Чернецьке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UA59080111140074472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Чернишки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UA59080111150085370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Чижове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UA59080111160046806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Шевченкове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UA59080111170015117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Штепівка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UA59080111180042198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Шумили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UA59080111190028625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Щетини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UA59080111200046193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Яроші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UA59080111210062768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Яснопілля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UA59080111220090906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C1" w:rsidRPr="006876C1" w:rsidRDefault="009E4456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6876C1"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Залізничне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UA59080111230066201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C1" w:rsidRPr="006876C1" w:rsidRDefault="009E4456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6876C1"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Мирне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UA59080111240098493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C1" w:rsidRPr="006876C1" w:rsidRDefault="009E4456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bookmarkStart w:id="4" w:name="_GoBack"/>
            <w:bookmarkEnd w:id="4"/>
            <w:r w:rsidR="006876C1"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Новопетрівка</w:t>
            </w:r>
          </w:p>
        </w:tc>
      </w:tr>
      <w:tr w:rsidR="006876C1" w:rsidRPr="006876C1" w:rsidTr="001C6657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highlight w:val="yellow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UA59080111250052845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сел</w:t>
            </w:r>
            <w:r w:rsidR="009E4456">
              <w:rPr>
                <w:rFonts w:ascii="Times New Roman" w:hAnsi="Times New Roman"/>
                <w:color w:val="000000"/>
                <w:sz w:val="22"/>
                <w:szCs w:val="22"/>
              </w:rPr>
              <w:t>ище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C1" w:rsidRPr="006876C1" w:rsidRDefault="006876C1" w:rsidP="006876C1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highlight w:val="yellow"/>
                <w:lang w:eastAsia="uk-UA"/>
              </w:rPr>
            </w:pPr>
            <w:r w:rsidRPr="006876C1">
              <w:rPr>
                <w:rFonts w:ascii="Times New Roman" w:hAnsi="Times New Roman"/>
                <w:color w:val="000000"/>
                <w:sz w:val="22"/>
                <w:szCs w:val="22"/>
              </w:rPr>
              <w:t>Андріївське</w:t>
            </w:r>
          </w:p>
        </w:tc>
      </w:tr>
    </w:tbl>
    <w:p w:rsidR="006876C1" w:rsidRPr="006876C1" w:rsidRDefault="006876C1" w:rsidP="006876C1">
      <w:pPr>
        <w:spacing w:before="120"/>
        <w:ind w:firstLine="567"/>
        <w:rPr>
          <w:rFonts w:ascii="Antiqua" w:hAnsi="Antiqua"/>
          <w:sz w:val="26"/>
          <w:lang w:val="en-AU" w:eastAsia="uk-UA"/>
        </w:rPr>
      </w:pPr>
    </w:p>
    <w:tbl>
      <w:tblPr>
        <w:tblW w:w="492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4494"/>
        <w:gridCol w:w="2162"/>
        <w:gridCol w:w="1640"/>
      </w:tblGrid>
      <w:tr w:rsidR="006876C1" w:rsidRPr="006876C1" w:rsidTr="001C6657">
        <w:trPr>
          <w:trHeight w:val="20"/>
        </w:trPr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C00549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 xml:space="preserve">Вид економічної діяльності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згідно з КВЕД ДК 009:2010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(наказ Державного комітету з питань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 xml:space="preserve">технічного регулювання та споживчої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br/>
              <w:t>політики від 11 жовтня 2010 р. № 457)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C00549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 xml:space="preserve">Ставка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br/>
              <w:t xml:space="preserve">єдиного податку, % до розміру мінімальної заробітної плати встановленої законом на 1 січня податкового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lastRenderedPageBreak/>
              <w:t>(звітного) року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C00549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lastRenderedPageBreak/>
              <w:t>Період застосування ставки</w:t>
            </w:r>
          </w:p>
        </w:tc>
      </w:tr>
      <w:tr w:rsidR="006876C1" w:rsidRPr="006876C1" w:rsidTr="001C6657">
        <w:trPr>
          <w:trHeight w:val="507"/>
        </w:trPr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C1" w:rsidRPr="00C00549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 xml:space="preserve">код секції або </w:t>
            </w: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br/>
              <w:t>виду економічної діяльності</w:t>
            </w:r>
          </w:p>
        </w:tc>
        <w:tc>
          <w:tcPr>
            <w:tcW w:w="2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C1" w:rsidRPr="00C00549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C0054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>назва секції або виду економічної діяльності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6876C1" w:rsidRPr="006876C1" w:rsidTr="001C6657">
        <w:trPr>
          <w:trHeight w:val="507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2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6876C1" w:rsidRPr="006876C1" w:rsidTr="001C6657">
        <w:trPr>
          <w:trHeight w:val="2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00.00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6C1" w:rsidRPr="00F50AAD" w:rsidRDefault="006876C1" w:rsidP="006876C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876C1">
              <w:rPr>
                <w:rFonts w:ascii="Times New Roman" w:hAnsi="Times New Roman"/>
                <w:noProof/>
                <w:sz w:val="26"/>
              </w:rPr>
              <w:t>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з 01.01.2026</w:t>
            </w:r>
          </w:p>
        </w:tc>
      </w:tr>
      <w:tr w:rsidR="006876C1" w:rsidRPr="006876C1" w:rsidTr="001C6657">
        <w:trPr>
          <w:trHeight w:val="2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00.00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 у разі здійснення господарської діяльності на територіях більш ніж однієї  сільської, селищної, міської ради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6"/>
              </w:rPr>
            </w:pPr>
            <w:r w:rsidRPr="006876C1">
              <w:rPr>
                <w:rFonts w:ascii="Times New Roman" w:hAnsi="Times New Roman"/>
                <w:noProof/>
                <w:sz w:val="26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1" w:rsidRPr="006876C1" w:rsidRDefault="006876C1" w:rsidP="006876C1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76C1">
              <w:rPr>
                <w:rFonts w:ascii="Times New Roman" w:hAnsi="Times New Roman"/>
                <w:color w:val="000000" w:themeColor="text1"/>
                <w:sz w:val="26"/>
              </w:rPr>
              <w:t>з 01.01.2026</w:t>
            </w:r>
          </w:p>
        </w:tc>
      </w:tr>
    </w:tbl>
    <w:p w:rsidR="00B67ED6" w:rsidRDefault="001C6657" w:rsidP="001C6657">
      <w:pPr>
        <w:widowControl w:val="0"/>
        <w:spacing w:after="120" w:line="276" w:lineRule="auto"/>
        <w:ind w:left="720" w:right="-182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______________</w:t>
      </w:r>
    </w:p>
    <w:p w:rsidR="00C00549" w:rsidRDefault="00C00549" w:rsidP="001C6657">
      <w:pPr>
        <w:widowControl w:val="0"/>
        <w:spacing w:after="120" w:line="276" w:lineRule="auto"/>
        <w:ind w:left="720" w:right="-182"/>
        <w:jc w:val="center"/>
      </w:pPr>
    </w:p>
    <w:sectPr w:rsidR="00C00549" w:rsidSect="00F50AAD">
      <w:headerReference w:type="default" r:id="rId12"/>
      <w:pgSz w:w="12240" w:h="15840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AD" w:rsidRDefault="00C152AD" w:rsidP="00F50AAD">
      <w:r>
        <w:separator/>
      </w:r>
    </w:p>
  </w:endnote>
  <w:endnote w:type="continuationSeparator" w:id="0">
    <w:p w:rsidR="00C152AD" w:rsidRDefault="00C152AD" w:rsidP="00F5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AD" w:rsidRDefault="00C152AD" w:rsidP="00F50AAD">
      <w:r>
        <w:separator/>
      </w:r>
    </w:p>
  </w:footnote>
  <w:footnote w:type="continuationSeparator" w:id="0">
    <w:p w:rsidR="00C152AD" w:rsidRDefault="00C152AD" w:rsidP="00F5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453107"/>
      <w:docPartObj>
        <w:docPartGallery w:val="Page Numbers (Top of Page)"/>
        <w:docPartUnique/>
      </w:docPartObj>
    </w:sdtPr>
    <w:sdtEndPr/>
    <w:sdtContent>
      <w:p w:rsidR="00A81390" w:rsidRDefault="00093DA6" w:rsidP="002F0FAE">
        <w:pPr>
          <w:pStyle w:val="a4"/>
          <w:jc w:val="center"/>
        </w:pPr>
        <w:r>
          <w:fldChar w:fldCharType="begin"/>
        </w:r>
        <w:r w:rsidR="00250A89">
          <w:instrText>PAGE   \* MERGEFORMAT</w:instrText>
        </w:r>
        <w:r>
          <w:fldChar w:fldCharType="separate"/>
        </w:r>
        <w:r w:rsidR="00274880" w:rsidRPr="0027488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881988"/>
      <w:docPartObj>
        <w:docPartGallery w:val="Page Numbers (Top of Page)"/>
        <w:docPartUnique/>
      </w:docPartObj>
    </w:sdtPr>
    <w:sdtEndPr/>
    <w:sdtContent>
      <w:p w:rsidR="00A81390" w:rsidRDefault="00A81390" w:rsidP="00F50AAD">
        <w:pPr>
          <w:pStyle w:val="a4"/>
          <w:tabs>
            <w:tab w:val="left" w:pos="5670"/>
          </w:tabs>
          <w:jc w:val="center"/>
        </w:pPr>
        <w:r>
          <w:t xml:space="preserve">                           </w:t>
        </w:r>
        <w:r w:rsidR="00093DA6">
          <w:fldChar w:fldCharType="begin"/>
        </w:r>
        <w:r w:rsidR="00250A89">
          <w:instrText>PAGE   \* MERGEFORMAT</w:instrText>
        </w:r>
        <w:r w:rsidR="00093DA6">
          <w:fldChar w:fldCharType="separate"/>
        </w:r>
        <w:r w:rsidR="00274880">
          <w:rPr>
            <w:noProof/>
          </w:rPr>
          <w:t>7</w:t>
        </w:r>
        <w:r w:rsidR="00093DA6">
          <w:rPr>
            <w:noProof/>
          </w:rPr>
          <w:fldChar w:fldCharType="end"/>
        </w:r>
        <w:r>
          <w:t xml:space="preserve">                           </w:t>
        </w:r>
        <w:r w:rsidRPr="00F50AAD">
          <w:rPr>
            <w:sz w:val="24"/>
            <w:szCs w:val="24"/>
          </w:rPr>
          <w:t>Продовження додатка 1</w:t>
        </w:r>
      </w:p>
    </w:sdtContent>
  </w:sdt>
  <w:p w:rsidR="00A81390" w:rsidRPr="00F50AAD" w:rsidRDefault="00A81390" w:rsidP="00F50AAD">
    <w:pPr>
      <w:pStyle w:val="a4"/>
      <w:ind w:left="5670"/>
      <w:rPr>
        <w:sz w:val="24"/>
        <w:szCs w:val="24"/>
      </w:rPr>
    </w:pPr>
    <w:r>
      <w:rPr>
        <w:sz w:val="24"/>
        <w:szCs w:val="24"/>
      </w:rPr>
      <w:t>д</w:t>
    </w:r>
    <w:r w:rsidRPr="00F50AAD">
      <w:rPr>
        <w:sz w:val="24"/>
        <w:szCs w:val="24"/>
      </w:rPr>
      <w:t>о Елементів про оподаткування єдиним податком фізичних осіб-підприємців І та ІІ групи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905050"/>
      <w:docPartObj>
        <w:docPartGallery w:val="Page Numbers (Top of Page)"/>
        <w:docPartUnique/>
      </w:docPartObj>
    </w:sdtPr>
    <w:sdtEndPr/>
    <w:sdtContent>
      <w:p w:rsidR="00A81390" w:rsidRDefault="00A81390" w:rsidP="00F50AAD">
        <w:pPr>
          <w:pStyle w:val="a4"/>
          <w:tabs>
            <w:tab w:val="left" w:pos="5670"/>
          </w:tabs>
          <w:jc w:val="center"/>
        </w:pPr>
        <w:r>
          <w:t xml:space="preserve">                           </w:t>
        </w:r>
        <w:r w:rsidR="00093DA6">
          <w:fldChar w:fldCharType="begin"/>
        </w:r>
        <w:r w:rsidR="00250A89">
          <w:instrText>PAGE   \* MERGEFORMAT</w:instrText>
        </w:r>
        <w:r w:rsidR="00093DA6">
          <w:fldChar w:fldCharType="separate"/>
        </w:r>
        <w:r w:rsidR="00274880" w:rsidRPr="00274880">
          <w:rPr>
            <w:noProof/>
            <w:lang w:val="ru-RU"/>
          </w:rPr>
          <w:t>7</w:t>
        </w:r>
        <w:r w:rsidR="00093DA6">
          <w:rPr>
            <w:noProof/>
            <w:lang w:val="ru-RU"/>
          </w:rPr>
          <w:fldChar w:fldCharType="end"/>
        </w:r>
        <w:r>
          <w:t xml:space="preserve">                           </w:t>
        </w:r>
        <w:r w:rsidRPr="00F50AAD">
          <w:rPr>
            <w:sz w:val="24"/>
            <w:szCs w:val="24"/>
          </w:rPr>
          <w:t xml:space="preserve">Продовження додатка </w:t>
        </w:r>
        <w:r>
          <w:rPr>
            <w:sz w:val="24"/>
            <w:szCs w:val="24"/>
          </w:rPr>
          <w:t>2</w:t>
        </w:r>
      </w:p>
    </w:sdtContent>
  </w:sdt>
  <w:p w:rsidR="00A81390" w:rsidRPr="00F50AAD" w:rsidRDefault="00A81390" w:rsidP="00F50AAD">
    <w:pPr>
      <w:pStyle w:val="a4"/>
      <w:ind w:left="5670"/>
      <w:rPr>
        <w:sz w:val="24"/>
        <w:szCs w:val="24"/>
      </w:rPr>
    </w:pPr>
    <w:r>
      <w:rPr>
        <w:sz w:val="24"/>
        <w:szCs w:val="24"/>
      </w:rPr>
      <w:t>д</w:t>
    </w:r>
    <w:r w:rsidRPr="00F50AAD">
      <w:rPr>
        <w:sz w:val="24"/>
        <w:szCs w:val="24"/>
      </w:rPr>
      <w:t>о Елементів про оподаткування єдиним податком фізичних осіб-підприємців І та ІІ групи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565E4"/>
    <w:multiLevelType w:val="hybridMultilevel"/>
    <w:tmpl w:val="076E8B20"/>
    <w:lvl w:ilvl="0" w:tplc="DBBC54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668"/>
    <w:rsid w:val="00011068"/>
    <w:rsid w:val="00081071"/>
    <w:rsid w:val="00093DA6"/>
    <w:rsid w:val="000B3668"/>
    <w:rsid w:val="000D22DD"/>
    <w:rsid w:val="000D4A9D"/>
    <w:rsid w:val="00145723"/>
    <w:rsid w:val="00184E1A"/>
    <w:rsid w:val="001A3AA2"/>
    <w:rsid w:val="001C6657"/>
    <w:rsid w:val="001F700B"/>
    <w:rsid w:val="00250318"/>
    <w:rsid w:val="00250A89"/>
    <w:rsid w:val="00253434"/>
    <w:rsid w:val="00274880"/>
    <w:rsid w:val="002B7575"/>
    <w:rsid w:val="002F0FAE"/>
    <w:rsid w:val="00305D43"/>
    <w:rsid w:val="004F2CBD"/>
    <w:rsid w:val="005205B9"/>
    <w:rsid w:val="0055528D"/>
    <w:rsid w:val="005E0BE7"/>
    <w:rsid w:val="006876C1"/>
    <w:rsid w:val="006C17F8"/>
    <w:rsid w:val="00734FDA"/>
    <w:rsid w:val="008041BF"/>
    <w:rsid w:val="008870D6"/>
    <w:rsid w:val="009236E9"/>
    <w:rsid w:val="009530D6"/>
    <w:rsid w:val="00953AB5"/>
    <w:rsid w:val="009E4456"/>
    <w:rsid w:val="00A81390"/>
    <w:rsid w:val="00A90068"/>
    <w:rsid w:val="00AB59A9"/>
    <w:rsid w:val="00B651F0"/>
    <w:rsid w:val="00B67ED6"/>
    <w:rsid w:val="00BE698F"/>
    <w:rsid w:val="00C00549"/>
    <w:rsid w:val="00C152AD"/>
    <w:rsid w:val="00C215B5"/>
    <w:rsid w:val="00DA0C95"/>
    <w:rsid w:val="00DC11DA"/>
    <w:rsid w:val="00E60F68"/>
    <w:rsid w:val="00E66204"/>
    <w:rsid w:val="00EB3A41"/>
    <w:rsid w:val="00EF4D43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AFF58"/>
  <w15:docId w15:val="{28979775-D08D-4190-9755-3FE6DAE1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68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AAD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50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AAD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8">
    <w:name w:val="Body Text"/>
    <w:basedOn w:val="a"/>
    <w:link w:val="a9"/>
    <w:semiHidden/>
    <w:unhideWhenUsed/>
    <w:rsid w:val="000D4A9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0D4A9D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F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FA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2DC1-FA93-48E6-BA7B-83E87B93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17</cp:revision>
  <dcterms:created xsi:type="dcterms:W3CDTF">2025-06-17T06:50:00Z</dcterms:created>
  <dcterms:modified xsi:type="dcterms:W3CDTF">2025-06-18T12:40:00Z</dcterms:modified>
</cp:coreProperties>
</file>