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1" w:type="dxa"/>
        <w:tblInd w:w="-567" w:type="dxa"/>
        <w:tblLook w:val="04A0" w:firstRow="1" w:lastRow="0" w:firstColumn="1" w:lastColumn="0" w:noHBand="0" w:noVBand="1"/>
      </w:tblPr>
      <w:tblGrid>
        <w:gridCol w:w="759"/>
        <w:gridCol w:w="1626"/>
        <w:gridCol w:w="960"/>
        <w:gridCol w:w="960"/>
        <w:gridCol w:w="614"/>
        <w:gridCol w:w="1480"/>
        <w:gridCol w:w="1266"/>
        <w:gridCol w:w="1140"/>
        <w:gridCol w:w="1266"/>
        <w:gridCol w:w="960"/>
      </w:tblGrid>
      <w:tr w:rsidR="00763D6A" w:rsidRPr="00763D6A" w14:paraId="2039718D" w14:textId="77777777" w:rsidTr="00257CCD">
        <w:trPr>
          <w:trHeight w:val="40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412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val="uk-UA" w:eastAsia="ru-RU"/>
              </w:rPr>
              <w:t>СТРУКТУРА</w:t>
            </w:r>
          </w:p>
        </w:tc>
      </w:tr>
      <w:tr w:rsidR="00763D6A" w:rsidRPr="00763D6A" w14:paraId="0372BF0B" w14:textId="77777777" w:rsidTr="00257CCD">
        <w:trPr>
          <w:trHeight w:val="31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F5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економічно </w:t>
            </w:r>
            <w:r w:rsidRPr="00487B7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обґрунтованих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тарифів на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послуги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централізова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ного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водопостачання </w:t>
            </w:r>
          </w:p>
        </w:tc>
      </w:tr>
      <w:tr w:rsidR="00763D6A" w:rsidRPr="00763D6A" w14:paraId="7ECB726F" w14:textId="77777777" w:rsidTr="00257CCD">
        <w:trPr>
          <w:trHeight w:val="315"/>
        </w:trPr>
        <w:tc>
          <w:tcPr>
            <w:tcW w:w="109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C41D" w14:textId="7BEBF20E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та централізован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ого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водовідведення 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комунального підприємства</w:t>
            </w:r>
            <w:r w:rsidR="00395DC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«</w:t>
            </w: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Водоканал</w:t>
            </w:r>
            <w:r w:rsidR="003A669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 xml:space="preserve"> виконавчого комітету Лебединської міської ради»</w:t>
            </w:r>
          </w:p>
        </w:tc>
      </w:tr>
      <w:tr w:rsidR="00763D6A" w:rsidRPr="00763D6A" w14:paraId="35A09030" w14:textId="77777777" w:rsidTr="00257CCD">
        <w:trPr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0D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66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BF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5F6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A00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B7D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36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6C8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6C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1B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</w:rPr>
            </w:pPr>
          </w:p>
        </w:tc>
      </w:tr>
      <w:tr w:rsidR="00763D6A" w:rsidRPr="00763D6A" w14:paraId="6BDD8422" w14:textId="77777777" w:rsidTr="00257CCD">
        <w:trPr>
          <w:trHeight w:val="67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C854A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4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658F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4C3C6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Централізоване водопостачання</w:t>
            </w:r>
          </w:p>
        </w:tc>
        <w:tc>
          <w:tcPr>
            <w:tcW w:w="24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5B5A9F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Централізоване водовідведення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0FE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2B2A506" w14:textId="77777777" w:rsidTr="00257CCD">
        <w:trPr>
          <w:trHeight w:val="61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22FD6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60CF75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05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усього , 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8B4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грн/</w:t>
            </w:r>
            <w:proofErr w:type="spellStart"/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куб.м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05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усього , тис. грн.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DC89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грн/</w:t>
            </w:r>
            <w:proofErr w:type="spellStart"/>
            <w:r w:rsidRPr="00763D6A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  <w:t>куб.м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AFB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61A1243" w14:textId="77777777" w:rsidTr="00257CCD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18AB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20E4009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Виробнича собівартість, усього,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6DCA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9809,7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811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30,66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F13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4354,1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E2F57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37,86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D2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FD4F4F4" w14:textId="77777777" w:rsidTr="00257CCD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B5D9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D8368F6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прямі матеріальні витрати,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9B2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3625,0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315A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D7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523,2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46FB6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085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032331F" w14:textId="77777777" w:rsidTr="00257CCD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1E7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68A9ACF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електроенергія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1D52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3542,6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B57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CFB6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523,2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095BF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432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6D70C719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DAB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D69000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матеріальні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18F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82,4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2BE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104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DB872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AE3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3B81ED00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2EB7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160F959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прямі витрати на оплату праці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842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1237,6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B3B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4EA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1971,1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7AAC0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D9E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C51CF17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DE56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D076AE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витрати,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E84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459,8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F48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F27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639,7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8DDE3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41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BE80198" w14:textId="77777777" w:rsidTr="00257CCD">
        <w:trPr>
          <w:trHeight w:val="8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2741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AD05F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1D7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402,3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6294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95B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0A60A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BE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1ED5339" w14:textId="77777777" w:rsidTr="003A6693">
        <w:trPr>
          <w:trHeight w:val="95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2004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222933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амортизація виробничих основних засобів та нематеріальних активів, безпосередньо пов'язаних з наданням послуг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825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4FF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FF0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206,1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45042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6C3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56CCD51" w14:textId="77777777" w:rsidTr="00257CCD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E71F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18817A1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інші прямі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6D1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80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AAF3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91B66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DE2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07E9F16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D65C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F067CD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загальновиробничі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9C7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4487,3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7E2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14,02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DD6B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1220,1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1ECD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B1D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6139201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9CCF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28B528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DC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1243,9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46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23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552,1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81EE3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EBC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B6B38E6" w14:textId="77777777" w:rsidTr="00257CCD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5003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176EFC4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Усього витрат повної собівартості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03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11053,6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63A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34,54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AB1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4906,2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BD49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42,66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72C8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F42E201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2AC0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1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3DF4D7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Плановий прибуток: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9859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442,1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69AC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AF13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196,2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8A193D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E88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FC58DE6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4EFD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0D2F7A2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CF7A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5C0D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4BAC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59BD28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7FC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16750940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193C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0EE663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чистий прибуток, зокрема: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7B82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362,5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00EC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1748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160,9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5FEBD1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7DC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7439857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0A5A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510DE5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proofErr w:type="spellStart"/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дивіденти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E9E0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F25A4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FABD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170FA9" w14:textId="77777777" w:rsidR="00763D6A" w:rsidRPr="00763D6A" w:rsidRDefault="008F63C3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888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3DA35A2" w14:textId="77777777" w:rsidTr="00257CCD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7F28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8603CB3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 розвиток виробництва (виробничі інвестиції)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6B1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C61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23D4D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D662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61E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F1A30F9" w14:textId="77777777" w:rsidTr="00257CCD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69B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60C2722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інше використання прибутку (обігові кошти)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3039" w14:textId="77777777" w:rsidR="00763D6A" w:rsidRPr="00763D6A" w:rsidRDefault="0065338F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353,7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D1B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57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B12F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1,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DAA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1E77CEC" w14:textId="77777777" w:rsidTr="00257CC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59C2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D5040D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25C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494,4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42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E30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305E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076C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05188CD9" w14:textId="77777777" w:rsidTr="00257CCD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0368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B290694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Обсяг водопостачання споживачам, усього, зокрема на потреби (тис. м. куб.)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295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E23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3C81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2FE6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6B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5350D02E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01B0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57AA0BB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0C1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291,0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8B6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36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E4BB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CD5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47D402C9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F452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21DF910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бюджетних установ та організацій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9E3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C302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01C4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16E1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DA99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24B5F614" w14:textId="77777777" w:rsidTr="00257CC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BC5B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5DD301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інших споживачів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A40F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CFE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D94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BF71A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6A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763D6A" w:rsidRPr="00763D6A" w14:paraId="62F9894F" w14:textId="77777777" w:rsidTr="003A6693">
        <w:trPr>
          <w:trHeight w:val="1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15D5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8891E6" w14:textId="77777777" w:rsidR="00763D6A" w:rsidRPr="00763D6A" w:rsidRDefault="00763D6A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Середньозважений тариф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8C5" w14:textId="77777777" w:rsidR="00763D6A" w:rsidRPr="00763D6A" w:rsidRDefault="005C20AC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  <w:r w:rsidR="00763D6A"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CEB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3</w:t>
            </w:r>
            <w:r w:rsidR="0065338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5490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9CCD7" w14:textId="77777777" w:rsidR="00763D6A" w:rsidRPr="00763D6A" w:rsidRDefault="00763D6A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 w:rsidRPr="00763D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</w:t>
            </w:r>
            <w:r w:rsidR="008F63C3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143F" w14:textId="77777777" w:rsidR="00182E6D" w:rsidRPr="00763D6A" w:rsidRDefault="00182E6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  <w:tr w:rsidR="00257CCD" w:rsidRPr="00763D6A" w14:paraId="22E6F1A2" w14:textId="77777777" w:rsidTr="00257CCD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A15989B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98C4448" w14:textId="77777777" w:rsidR="00257CCD" w:rsidRPr="00763D6A" w:rsidRDefault="00257CCD" w:rsidP="00487B7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Тариф на централізоване водопостачання/ централізоване водовідведення (з ПДВ)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244D0F" w14:textId="77777777" w:rsidR="00257CCD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ACF630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43,1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6D830E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96E0E" w14:textId="77777777" w:rsidR="00257CCD" w:rsidRPr="00763D6A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  <w:t>53,24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FCAE1" w14:textId="77777777" w:rsidR="00257CCD" w:rsidRDefault="00257CCD" w:rsidP="00487B7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 w:eastAsia="ru-RU"/>
              </w:rPr>
            </w:pPr>
          </w:p>
        </w:tc>
      </w:tr>
    </w:tbl>
    <w:p w14:paraId="10D089CE" w14:textId="77777777" w:rsidR="00257CCD" w:rsidRDefault="00257CCD" w:rsidP="00487B74">
      <w:pPr>
        <w:spacing w:after="0"/>
        <w:jc w:val="center"/>
        <w:rPr>
          <w:b/>
          <w:bCs/>
          <w:lang w:val="uk-UA"/>
        </w:rPr>
      </w:pPr>
    </w:p>
    <w:p w14:paraId="2B434EEC" w14:textId="77777777" w:rsidR="003B08B0" w:rsidRDefault="003B08B0" w:rsidP="00487B74">
      <w:pPr>
        <w:spacing w:after="0"/>
        <w:jc w:val="center"/>
        <w:rPr>
          <w:b/>
          <w:bCs/>
          <w:lang w:val="uk-UA"/>
        </w:rPr>
      </w:pPr>
    </w:p>
    <w:p w14:paraId="50377838" w14:textId="77777777" w:rsidR="003B08B0" w:rsidRDefault="003B08B0" w:rsidP="00487B74">
      <w:pPr>
        <w:spacing w:after="0"/>
        <w:jc w:val="center"/>
        <w:rPr>
          <w:b/>
          <w:bCs/>
          <w:lang w:val="uk-UA"/>
        </w:rPr>
      </w:pPr>
    </w:p>
    <w:p w14:paraId="7B0BD6EE" w14:textId="77777777" w:rsidR="008C46C0" w:rsidRPr="008C46C0" w:rsidRDefault="008C46C0" w:rsidP="00487B74">
      <w:pPr>
        <w:spacing w:after="0"/>
        <w:jc w:val="center"/>
        <w:rPr>
          <w:lang w:val="uk-UA"/>
        </w:rPr>
      </w:pPr>
      <w:r w:rsidRPr="008C46C0">
        <w:rPr>
          <w:b/>
          <w:bCs/>
          <w:lang w:val="uk-UA"/>
        </w:rPr>
        <w:lastRenderedPageBreak/>
        <w:t>До уваги споживачів послуг!</w:t>
      </w:r>
    </w:p>
    <w:p w14:paraId="10415975" w14:textId="23B1ED5E" w:rsidR="008C46C0" w:rsidRPr="008C46C0" w:rsidRDefault="008C46C0" w:rsidP="00487B74">
      <w:pPr>
        <w:spacing w:after="0"/>
        <w:jc w:val="center"/>
        <w:rPr>
          <w:lang w:val="uk-UA"/>
        </w:rPr>
      </w:pPr>
      <w:r w:rsidRPr="008C46C0">
        <w:rPr>
          <w:b/>
          <w:bCs/>
          <w:lang w:val="uk-UA"/>
        </w:rPr>
        <w:t>Повідомлення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>про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>намір здійснити перегляд тарифів</w:t>
      </w:r>
    </w:p>
    <w:p w14:paraId="36118DAF" w14:textId="77777777" w:rsidR="008C46C0" w:rsidRPr="008C46C0" w:rsidRDefault="008C46C0" w:rsidP="00487B74">
      <w:pPr>
        <w:spacing w:after="0"/>
        <w:jc w:val="center"/>
        <w:rPr>
          <w:lang w:val="uk-UA"/>
        </w:rPr>
      </w:pPr>
      <w:r w:rsidRPr="008C46C0">
        <w:rPr>
          <w:b/>
          <w:bCs/>
          <w:lang w:val="uk-UA"/>
        </w:rPr>
        <w:t>на послуги централізованого водопостачання та централізованого водовідведення</w:t>
      </w:r>
      <w:r w:rsidR="003A6693">
        <w:rPr>
          <w:b/>
          <w:bCs/>
          <w:lang w:val="uk-UA"/>
        </w:rPr>
        <w:t xml:space="preserve"> комунальним підприємством «Водоканал виконавчого комітету Лебединської міської ради»</w:t>
      </w:r>
    </w:p>
    <w:p w14:paraId="5A75448B" w14:textId="3EAA52D0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 xml:space="preserve">На виконання п. 2 розділу ІІ </w:t>
      </w:r>
      <w:r w:rsidRPr="005145C4">
        <w:rPr>
          <w:lang w:val="uk-UA"/>
        </w:rPr>
        <w:t>«П</w:t>
      </w:r>
      <w:r w:rsidRPr="008C46C0">
        <w:rPr>
          <w:lang w:val="uk-UA"/>
        </w:rPr>
        <w:t>орядку інформування споживачів про намір зміни цін/тарифів на комунальні послуги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 xml:space="preserve">з </w:t>
      </w:r>
      <w:r w:rsidRPr="005145C4">
        <w:rPr>
          <w:lang w:val="uk-UA"/>
        </w:rPr>
        <w:t>обґрунтуванням</w:t>
      </w:r>
      <w:r w:rsidRPr="008C46C0">
        <w:rPr>
          <w:lang w:val="uk-UA"/>
        </w:rPr>
        <w:t xml:space="preserve"> такої необхідності</w:t>
      </w:r>
      <w:r w:rsidRPr="005145C4">
        <w:rPr>
          <w:lang w:val="uk-UA"/>
        </w:rPr>
        <w:t xml:space="preserve">» </w:t>
      </w:r>
      <w:r w:rsidRPr="008C46C0">
        <w:rPr>
          <w:lang w:val="uk-UA"/>
        </w:rPr>
        <w:t>затвердженого Наказом Міністерства регіонального розвитку, будівництва та житлово-комунального господарства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України від 05червня 2018 р. №130,</w:t>
      </w:r>
      <w:r w:rsidRPr="005145C4">
        <w:rPr>
          <w:lang w:val="uk-UA"/>
        </w:rPr>
        <w:t xml:space="preserve"> комунальне підприємство «Водоканал виконавчого комітету Лебединської міської ради»</w:t>
      </w:r>
      <w:r w:rsidR="005E4E3A">
        <w:rPr>
          <w:lang w:val="uk-UA"/>
        </w:rPr>
        <w:t xml:space="preserve"> (далі – КП «Водоканал»)</w:t>
      </w:r>
      <w:r w:rsidRPr="008C46C0">
        <w:rPr>
          <w:lang w:val="uk-UA"/>
        </w:rPr>
        <w:t>доводить до відома споживачів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інформацію, про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намір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зміни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тарифів на централізоване водопостачання та централізоване водовідведення.</w:t>
      </w:r>
    </w:p>
    <w:p w14:paraId="5FD37DC2" w14:textId="2B318059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Дана інформація публікується з метою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 xml:space="preserve">дотримання вимог діючого законодавства, зокрема Закону </w:t>
      </w:r>
      <w:r w:rsidR="005145C4">
        <w:rPr>
          <w:lang w:val="uk-UA"/>
        </w:rPr>
        <w:t xml:space="preserve">України </w:t>
      </w:r>
      <w:r w:rsidRPr="008C46C0">
        <w:rPr>
          <w:lang w:val="uk-UA"/>
        </w:rPr>
        <w:t xml:space="preserve">«Про житлово-комунальні послуги», Постанови КМУ від 01червня 2011 року №869 </w:t>
      </w:r>
      <w:r w:rsidRPr="00487B74">
        <w:rPr>
          <w:lang w:val="uk-UA"/>
        </w:rPr>
        <w:t>«</w:t>
      </w:r>
      <w:r w:rsidRPr="008C46C0">
        <w:rPr>
          <w:lang w:val="uk-UA"/>
        </w:rPr>
        <w:t>Про забезпечення єдиного підходу до формування тарифів на комунальні послуги</w:t>
      </w:r>
      <w:r w:rsidRPr="00487B74">
        <w:rPr>
          <w:lang w:val="uk-UA"/>
        </w:rPr>
        <w:t>»</w:t>
      </w:r>
      <w:r w:rsidRPr="008C46C0">
        <w:rPr>
          <w:lang w:val="uk-UA"/>
        </w:rPr>
        <w:t xml:space="preserve">, Наказу </w:t>
      </w:r>
      <w:proofErr w:type="spellStart"/>
      <w:r w:rsidRPr="008C46C0">
        <w:rPr>
          <w:lang w:val="uk-UA"/>
        </w:rPr>
        <w:t>Мінрегіону</w:t>
      </w:r>
      <w:proofErr w:type="spellEnd"/>
      <w:r w:rsidRPr="008C46C0">
        <w:rPr>
          <w:lang w:val="uk-UA"/>
        </w:rPr>
        <w:t xml:space="preserve"> від 12 вересня 2018 року №239 </w:t>
      </w:r>
      <w:r w:rsidRPr="00487B74">
        <w:rPr>
          <w:lang w:val="uk-UA"/>
        </w:rPr>
        <w:t>«</w:t>
      </w:r>
      <w:r w:rsidRPr="008C46C0">
        <w:rPr>
          <w:lang w:val="uk-UA"/>
        </w:rPr>
        <w:t>Про затвердження Порядку розгляду органами місцевого самоврядування розрахунків тарифів на теплову енергію,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її виробництво, транспортування та постачання,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а також розрахунків тарифів на комунальні послуги, поданих для їх встановлення</w:t>
      </w:r>
      <w:r w:rsidRPr="00487B74">
        <w:rPr>
          <w:lang w:val="uk-UA"/>
        </w:rPr>
        <w:t>»</w:t>
      </w:r>
      <w:r w:rsidRPr="008C46C0">
        <w:rPr>
          <w:lang w:val="uk-UA"/>
        </w:rPr>
        <w:t>. Так відповідно до п.8Порядку формування тарифів на централізоване водопостачання та централізоване водовідведення,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затвердженого Постановою КМУ від 01.06.2011 року №869ліцензіатзобов’язаний подати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уповноваженому органу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заяву та розрахункові матеріали для встановлення тарифів на новий плановий період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в даному випадкунаплановий2026 рік.</w:t>
      </w:r>
    </w:p>
    <w:p w14:paraId="4F8C5F95" w14:textId="6602C293" w:rsidR="00487B74" w:rsidRPr="00487B74" w:rsidRDefault="008C46C0" w:rsidP="005145C4">
      <w:pPr>
        <w:spacing w:after="0"/>
        <w:ind w:firstLine="567"/>
        <w:jc w:val="both"/>
        <w:rPr>
          <w:szCs w:val="28"/>
          <w:lang w:val="uk-UA"/>
        </w:rPr>
      </w:pPr>
      <w:r w:rsidRPr="008C46C0">
        <w:rPr>
          <w:lang w:val="uk-UA"/>
        </w:rPr>
        <w:t>Діючі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на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сьогодні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тарифи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на послугу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з централізованого водопостачання та централізованого водовідведення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для всіх споживачів,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 xml:space="preserve">встановленні </w:t>
      </w:r>
      <w:r w:rsidRPr="005145C4">
        <w:rPr>
          <w:lang w:val="uk-UA"/>
        </w:rPr>
        <w:t>р</w:t>
      </w:r>
      <w:r w:rsidRPr="008C46C0">
        <w:rPr>
          <w:lang w:val="uk-UA"/>
        </w:rPr>
        <w:t xml:space="preserve">ішенням виконавчого комітету </w:t>
      </w:r>
      <w:r w:rsidRPr="005145C4">
        <w:rPr>
          <w:lang w:val="uk-UA"/>
        </w:rPr>
        <w:t>Лебединської</w:t>
      </w:r>
      <w:r w:rsidRPr="008C46C0">
        <w:rPr>
          <w:lang w:val="uk-UA"/>
        </w:rPr>
        <w:t xml:space="preserve"> міської ради від </w:t>
      </w:r>
      <w:r w:rsidR="0020039B" w:rsidRPr="00487B74">
        <w:rPr>
          <w:lang w:val="uk-UA"/>
        </w:rPr>
        <w:t xml:space="preserve">20.11.2024 </w:t>
      </w:r>
      <w:r w:rsidR="0020039B" w:rsidRPr="008C46C0">
        <w:rPr>
          <w:lang w:val="uk-UA"/>
        </w:rPr>
        <w:t>№</w:t>
      </w:r>
      <w:r w:rsidR="0020039B" w:rsidRPr="00487B74">
        <w:rPr>
          <w:lang w:val="uk-UA"/>
        </w:rPr>
        <w:t>341 «</w:t>
      </w:r>
      <w:r w:rsidR="0020039B" w:rsidRPr="00487B74">
        <w:rPr>
          <w:bCs/>
          <w:szCs w:val="28"/>
          <w:lang w:val="uk-UA"/>
        </w:rPr>
        <w:t>Про встановлення тарифів на централізоване водопостачання та централізоване водовідведення комунальному підприємству «Водоканал виконавчого комітету Лебединської міської ради</w:t>
      </w:r>
      <w:r w:rsidRPr="008C46C0">
        <w:rPr>
          <w:lang w:val="uk-UA"/>
        </w:rPr>
        <w:t xml:space="preserve">(зі змінами </w:t>
      </w:r>
      <w:r w:rsidR="0020039B" w:rsidRPr="008C46C0">
        <w:rPr>
          <w:lang w:val="uk-UA"/>
        </w:rPr>
        <w:t>№</w:t>
      </w:r>
      <w:r w:rsidR="0020039B" w:rsidRPr="00487B74">
        <w:rPr>
          <w:lang w:val="uk-UA"/>
        </w:rPr>
        <w:t xml:space="preserve">413 </w:t>
      </w:r>
      <w:r w:rsidRPr="008C46C0">
        <w:rPr>
          <w:lang w:val="uk-UA"/>
        </w:rPr>
        <w:t xml:space="preserve">від </w:t>
      </w:r>
      <w:r w:rsidR="0020039B" w:rsidRPr="00487B74">
        <w:rPr>
          <w:lang w:val="uk-UA"/>
        </w:rPr>
        <w:t>27.12.2024).</w:t>
      </w:r>
    </w:p>
    <w:p w14:paraId="573BA461" w14:textId="77777777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В умовах постійного зростання основних складових витрат є невідповідність діючих тарифів фактичними витратами на виробництво послуг з централізованого водопостачання та централізованого водовідведення.</w:t>
      </w:r>
    </w:p>
    <w:p w14:paraId="261E017F" w14:textId="01D680B9" w:rsid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Планові тарифи на послуги централізованого водопостачання та централізованого водовідведення розраховані відповідно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до Порядку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формування тарифів на послуги централізованого водопостачання та централізованого водовідведення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в результаті чого пропонуються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розрахункові тарифи на 2026рікв розмірі: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92"/>
        <w:gridCol w:w="1134"/>
        <w:gridCol w:w="1017"/>
        <w:gridCol w:w="1109"/>
        <w:gridCol w:w="1062"/>
        <w:gridCol w:w="923"/>
      </w:tblGrid>
      <w:tr w:rsidR="005F1D7B" w:rsidRPr="003A6693" w14:paraId="7BAD9662" w14:textId="77777777" w:rsidTr="003A6693">
        <w:trPr>
          <w:trHeight w:val="360"/>
          <w:jc w:val="center"/>
        </w:trPr>
        <w:tc>
          <w:tcPr>
            <w:tcW w:w="3256" w:type="dxa"/>
            <w:vMerge w:val="restart"/>
            <w:vAlign w:val="center"/>
          </w:tcPr>
          <w:p w14:paraId="682C19F6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Тарифи на централізоване водопостачання (грн/</w:t>
            </w:r>
            <w:proofErr w:type="spellStart"/>
            <w:r w:rsidRPr="003A6693">
              <w:rPr>
                <w:b/>
                <w:sz w:val="24"/>
                <w:szCs w:val="24"/>
                <w:lang w:val="uk-UA"/>
              </w:rPr>
              <w:t>куб.м</w:t>
            </w:r>
            <w:proofErr w:type="spellEnd"/>
            <w:r w:rsidRPr="003A6693">
              <w:rPr>
                <w:b/>
                <w:sz w:val="24"/>
                <w:szCs w:val="24"/>
                <w:lang w:val="uk-UA"/>
              </w:rPr>
              <w:t>. з ПДВ)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EECCE60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DB63B2C" w14:textId="77777777" w:rsidR="005F1D7B" w:rsidRPr="003A6693" w:rsidRDefault="003A6693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бюджетні організації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3090264" w14:textId="77777777" w:rsidR="005F1D7B" w:rsidRPr="003A6693" w:rsidRDefault="003A6693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інші споживачі</w:t>
            </w:r>
          </w:p>
        </w:tc>
      </w:tr>
      <w:tr w:rsidR="005F1D7B" w:rsidRPr="003A6693" w14:paraId="37980240" w14:textId="77777777" w:rsidTr="003A6693">
        <w:trPr>
          <w:trHeight w:val="276"/>
          <w:jc w:val="center"/>
        </w:trPr>
        <w:tc>
          <w:tcPr>
            <w:tcW w:w="3256" w:type="dxa"/>
            <w:vMerge/>
            <w:vAlign w:val="center"/>
          </w:tcPr>
          <w:p w14:paraId="4D6F288F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C73D2A3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2648524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5548C53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A6693" w:rsidRPr="003A6693" w14:paraId="4548155D" w14:textId="77777777" w:rsidTr="003A6693">
        <w:trPr>
          <w:trHeight w:val="50"/>
          <w:jc w:val="center"/>
        </w:trPr>
        <w:tc>
          <w:tcPr>
            <w:tcW w:w="3256" w:type="dxa"/>
            <w:vMerge/>
            <w:vAlign w:val="center"/>
          </w:tcPr>
          <w:p w14:paraId="5D9B30A2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5A59976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1134" w:type="dxa"/>
            <w:vAlign w:val="center"/>
          </w:tcPr>
          <w:p w14:paraId="5CFCF8D7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  <w:tc>
          <w:tcPr>
            <w:tcW w:w="1017" w:type="dxa"/>
            <w:vAlign w:val="center"/>
          </w:tcPr>
          <w:p w14:paraId="6FE33A0D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1109" w:type="dxa"/>
            <w:vAlign w:val="center"/>
          </w:tcPr>
          <w:p w14:paraId="7B36FEC7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  <w:tc>
          <w:tcPr>
            <w:tcW w:w="1062" w:type="dxa"/>
            <w:vAlign w:val="center"/>
          </w:tcPr>
          <w:p w14:paraId="07D91474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923" w:type="dxa"/>
            <w:vAlign w:val="center"/>
          </w:tcPr>
          <w:p w14:paraId="2DF258DE" w14:textId="77777777" w:rsidR="003A6693" w:rsidRPr="003A6693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</w:tr>
      <w:tr w:rsidR="005F1D7B" w:rsidRPr="003A6693" w14:paraId="6B2A6FE1" w14:textId="77777777" w:rsidTr="003A6693">
        <w:trPr>
          <w:jc w:val="center"/>
        </w:trPr>
        <w:tc>
          <w:tcPr>
            <w:tcW w:w="3256" w:type="dxa"/>
            <w:vMerge/>
            <w:vAlign w:val="center"/>
          </w:tcPr>
          <w:p w14:paraId="79686D05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62B49A9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37,34</w:t>
            </w:r>
          </w:p>
        </w:tc>
        <w:tc>
          <w:tcPr>
            <w:tcW w:w="1134" w:type="dxa"/>
            <w:vAlign w:val="center"/>
          </w:tcPr>
          <w:p w14:paraId="35B5A127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43,10</w:t>
            </w:r>
          </w:p>
        </w:tc>
        <w:tc>
          <w:tcPr>
            <w:tcW w:w="1017" w:type="dxa"/>
            <w:vAlign w:val="center"/>
          </w:tcPr>
          <w:p w14:paraId="13F416F5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41,29</w:t>
            </w:r>
          </w:p>
        </w:tc>
        <w:tc>
          <w:tcPr>
            <w:tcW w:w="1109" w:type="dxa"/>
            <w:vAlign w:val="center"/>
          </w:tcPr>
          <w:p w14:paraId="16217AEA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47,66</w:t>
            </w:r>
          </w:p>
        </w:tc>
        <w:tc>
          <w:tcPr>
            <w:tcW w:w="1062" w:type="dxa"/>
            <w:vAlign w:val="center"/>
          </w:tcPr>
          <w:p w14:paraId="1D75288B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53,86</w:t>
            </w:r>
          </w:p>
        </w:tc>
        <w:tc>
          <w:tcPr>
            <w:tcW w:w="923" w:type="dxa"/>
            <w:vAlign w:val="center"/>
          </w:tcPr>
          <w:p w14:paraId="32A1258D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62,17</w:t>
            </w:r>
          </w:p>
        </w:tc>
      </w:tr>
      <w:tr w:rsidR="003A6693" w:rsidRPr="003A6693" w14:paraId="0AD7B535" w14:textId="77777777" w:rsidTr="003A6693">
        <w:trPr>
          <w:jc w:val="center"/>
        </w:trPr>
        <w:tc>
          <w:tcPr>
            <w:tcW w:w="3256" w:type="dxa"/>
            <w:vAlign w:val="center"/>
          </w:tcPr>
          <w:p w14:paraId="56130CE3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відхилення</w:t>
            </w:r>
          </w:p>
          <w:p w14:paraId="33E24DF0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b/>
                <w:sz w:val="24"/>
                <w:szCs w:val="24"/>
                <w:lang w:val="uk-UA"/>
              </w:rPr>
              <w:t>у грошовому еквіваленті</w:t>
            </w:r>
          </w:p>
        </w:tc>
        <w:tc>
          <w:tcPr>
            <w:tcW w:w="2126" w:type="dxa"/>
            <w:gridSpan w:val="2"/>
            <w:vAlign w:val="center"/>
          </w:tcPr>
          <w:p w14:paraId="0BD4B221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+ 5,76</w:t>
            </w:r>
          </w:p>
        </w:tc>
        <w:tc>
          <w:tcPr>
            <w:tcW w:w="2126" w:type="dxa"/>
            <w:gridSpan w:val="2"/>
            <w:vAlign w:val="center"/>
          </w:tcPr>
          <w:p w14:paraId="79C24977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+ 6,37</w:t>
            </w:r>
          </w:p>
        </w:tc>
        <w:tc>
          <w:tcPr>
            <w:tcW w:w="1985" w:type="dxa"/>
            <w:gridSpan w:val="2"/>
            <w:vAlign w:val="center"/>
          </w:tcPr>
          <w:p w14:paraId="2D896440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+ 8,31</w:t>
            </w:r>
          </w:p>
        </w:tc>
      </w:tr>
    </w:tbl>
    <w:p w14:paraId="104F7073" w14:textId="77777777" w:rsidR="008C46C0" w:rsidRDefault="008C46C0" w:rsidP="00487B74">
      <w:pPr>
        <w:spacing w:after="0"/>
        <w:ind w:firstLine="567"/>
        <w:jc w:val="both"/>
        <w:rPr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992"/>
        <w:gridCol w:w="992"/>
        <w:gridCol w:w="1017"/>
        <w:gridCol w:w="968"/>
        <w:gridCol w:w="1062"/>
        <w:gridCol w:w="922"/>
      </w:tblGrid>
      <w:tr w:rsidR="005F1D7B" w:rsidRPr="00487B74" w14:paraId="56CBD6BF" w14:textId="77777777" w:rsidTr="003A6693">
        <w:trPr>
          <w:trHeight w:val="360"/>
          <w:jc w:val="center"/>
        </w:trPr>
        <w:tc>
          <w:tcPr>
            <w:tcW w:w="3681" w:type="dxa"/>
            <w:vMerge w:val="restart"/>
            <w:vAlign w:val="center"/>
          </w:tcPr>
          <w:p w14:paraId="5299961C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487B74">
              <w:rPr>
                <w:b/>
                <w:sz w:val="24"/>
                <w:szCs w:val="24"/>
                <w:lang w:val="uk-UA"/>
              </w:rPr>
              <w:t xml:space="preserve">Тарифи на централізоване </w:t>
            </w:r>
            <w:r>
              <w:rPr>
                <w:b/>
                <w:sz w:val="24"/>
                <w:szCs w:val="24"/>
                <w:lang w:val="uk-UA"/>
              </w:rPr>
              <w:t>водовідведення</w:t>
            </w:r>
            <w:r w:rsidRPr="00487B74">
              <w:rPr>
                <w:b/>
                <w:sz w:val="24"/>
                <w:szCs w:val="24"/>
                <w:lang w:val="uk-UA"/>
              </w:rPr>
              <w:t xml:space="preserve"> (грн/</w:t>
            </w:r>
            <w:proofErr w:type="spellStart"/>
            <w:r w:rsidRPr="00487B74">
              <w:rPr>
                <w:b/>
                <w:sz w:val="24"/>
                <w:szCs w:val="24"/>
                <w:lang w:val="uk-UA"/>
              </w:rPr>
              <w:t>куб.м</w:t>
            </w:r>
            <w:proofErr w:type="spellEnd"/>
            <w:r w:rsidRPr="00487B74">
              <w:rPr>
                <w:b/>
                <w:sz w:val="24"/>
                <w:szCs w:val="24"/>
                <w:lang w:val="uk-UA"/>
              </w:rPr>
              <w:t>. з ПДВ)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920A210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487B74">
              <w:rPr>
                <w:b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3F61D40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487B74">
              <w:rPr>
                <w:b/>
                <w:sz w:val="24"/>
                <w:szCs w:val="24"/>
                <w:lang w:val="uk-UA"/>
              </w:rPr>
              <w:t>бюджетні організації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33CCE722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487B74">
              <w:rPr>
                <w:b/>
                <w:sz w:val="24"/>
                <w:szCs w:val="24"/>
                <w:lang w:val="uk-UA"/>
              </w:rPr>
              <w:t>інші споживачі</w:t>
            </w:r>
          </w:p>
        </w:tc>
      </w:tr>
      <w:tr w:rsidR="005F1D7B" w:rsidRPr="00487B74" w14:paraId="6480FD27" w14:textId="77777777" w:rsidTr="003A6693">
        <w:trPr>
          <w:trHeight w:val="276"/>
          <w:jc w:val="center"/>
        </w:trPr>
        <w:tc>
          <w:tcPr>
            <w:tcW w:w="3681" w:type="dxa"/>
            <w:vMerge/>
            <w:vAlign w:val="center"/>
          </w:tcPr>
          <w:p w14:paraId="64FA3D98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6F19D2BF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CB6E41E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F5A411F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3A6693" w:rsidRPr="00487B74" w14:paraId="1E65102A" w14:textId="77777777" w:rsidTr="003A6693">
        <w:trPr>
          <w:trHeight w:val="840"/>
          <w:jc w:val="center"/>
        </w:trPr>
        <w:tc>
          <w:tcPr>
            <w:tcW w:w="3681" w:type="dxa"/>
            <w:vMerge/>
            <w:vAlign w:val="center"/>
          </w:tcPr>
          <w:p w14:paraId="437CB887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22BFFA72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992" w:type="dxa"/>
            <w:vAlign w:val="center"/>
          </w:tcPr>
          <w:p w14:paraId="39F7B45E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  <w:tc>
          <w:tcPr>
            <w:tcW w:w="1017" w:type="dxa"/>
            <w:vAlign w:val="center"/>
          </w:tcPr>
          <w:p w14:paraId="6ECF4287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968" w:type="dxa"/>
            <w:vAlign w:val="center"/>
          </w:tcPr>
          <w:p w14:paraId="203820B8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  <w:tc>
          <w:tcPr>
            <w:tcW w:w="1062" w:type="dxa"/>
            <w:vAlign w:val="center"/>
          </w:tcPr>
          <w:p w14:paraId="244BE712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 (факт)</w:t>
            </w:r>
          </w:p>
        </w:tc>
        <w:tc>
          <w:tcPr>
            <w:tcW w:w="922" w:type="dxa"/>
            <w:vAlign w:val="center"/>
          </w:tcPr>
          <w:p w14:paraId="0EEC682C" w14:textId="77777777" w:rsidR="003A6693" w:rsidRPr="00487B74" w:rsidRDefault="003A6693" w:rsidP="003A6693">
            <w:pPr>
              <w:spacing w:after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 (план)</w:t>
            </w:r>
          </w:p>
        </w:tc>
      </w:tr>
      <w:tr w:rsidR="005F1D7B" w:rsidRPr="00487B74" w14:paraId="3218F267" w14:textId="77777777" w:rsidTr="003A6693">
        <w:trPr>
          <w:jc w:val="center"/>
        </w:trPr>
        <w:tc>
          <w:tcPr>
            <w:tcW w:w="3681" w:type="dxa"/>
            <w:vMerge/>
            <w:vAlign w:val="center"/>
          </w:tcPr>
          <w:p w14:paraId="2629ED3B" w14:textId="77777777" w:rsidR="005F1D7B" w:rsidRPr="00487B74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17EBF56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50,34</w:t>
            </w:r>
          </w:p>
        </w:tc>
        <w:tc>
          <w:tcPr>
            <w:tcW w:w="992" w:type="dxa"/>
            <w:vAlign w:val="center"/>
          </w:tcPr>
          <w:p w14:paraId="667F03FB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53,24</w:t>
            </w:r>
          </w:p>
        </w:tc>
        <w:tc>
          <w:tcPr>
            <w:tcW w:w="1017" w:type="dxa"/>
            <w:vAlign w:val="center"/>
          </w:tcPr>
          <w:p w14:paraId="31C8A7CD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55,67</w:t>
            </w:r>
          </w:p>
        </w:tc>
        <w:tc>
          <w:tcPr>
            <w:tcW w:w="968" w:type="dxa"/>
            <w:vAlign w:val="center"/>
          </w:tcPr>
          <w:p w14:paraId="79DA215C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58,87</w:t>
            </w:r>
          </w:p>
        </w:tc>
        <w:tc>
          <w:tcPr>
            <w:tcW w:w="1062" w:type="dxa"/>
            <w:vAlign w:val="center"/>
          </w:tcPr>
          <w:p w14:paraId="403EC7F9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72,61</w:t>
            </w:r>
          </w:p>
        </w:tc>
        <w:tc>
          <w:tcPr>
            <w:tcW w:w="922" w:type="dxa"/>
            <w:vAlign w:val="center"/>
          </w:tcPr>
          <w:p w14:paraId="438A778B" w14:textId="77777777" w:rsidR="005F1D7B" w:rsidRPr="003A6693" w:rsidRDefault="005F1D7B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76,79</w:t>
            </w:r>
          </w:p>
        </w:tc>
      </w:tr>
      <w:tr w:rsidR="003A6693" w:rsidRPr="00487B74" w14:paraId="7AC580C3" w14:textId="77777777" w:rsidTr="003A6693">
        <w:trPr>
          <w:jc w:val="center"/>
        </w:trPr>
        <w:tc>
          <w:tcPr>
            <w:tcW w:w="3681" w:type="dxa"/>
            <w:vAlign w:val="center"/>
          </w:tcPr>
          <w:p w14:paraId="02182A45" w14:textId="77777777" w:rsidR="003A6693" w:rsidRPr="00487B74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</w:t>
            </w:r>
          </w:p>
          <w:p w14:paraId="741A4C2A" w14:textId="77777777" w:rsidR="003A6693" w:rsidRPr="00487B74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грошовому еквіваленті</w:t>
            </w:r>
          </w:p>
        </w:tc>
        <w:tc>
          <w:tcPr>
            <w:tcW w:w="1984" w:type="dxa"/>
            <w:gridSpan w:val="2"/>
            <w:vAlign w:val="center"/>
          </w:tcPr>
          <w:p w14:paraId="2FE8E2D1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+ 2,9</w:t>
            </w:r>
          </w:p>
        </w:tc>
        <w:tc>
          <w:tcPr>
            <w:tcW w:w="1985" w:type="dxa"/>
            <w:gridSpan w:val="2"/>
            <w:vAlign w:val="center"/>
          </w:tcPr>
          <w:p w14:paraId="14524A90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+ 3,2</w:t>
            </w:r>
          </w:p>
        </w:tc>
        <w:tc>
          <w:tcPr>
            <w:tcW w:w="1984" w:type="dxa"/>
            <w:gridSpan w:val="2"/>
            <w:vAlign w:val="center"/>
          </w:tcPr>
          <w:p w14:paraId="34033999" w14:textId="77777777" w:rsidR="003A6693" w:rsidRPr="003A6693" w:rsidRDefault="003A6693" w:rsidP="00283E16">
            <w:pPr>
              <w:spacing w:after="0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3A6693">
              <w:rPr>
                <w:sz w:val="24"/>
                <w:szCs w:val="24"/>
                <w:lang w:val="uk-UA"/>
              </w:rPr>
              <w:t>+ 4,18</w:t>
            </w:r>
          </w:p>
        </w:tc>
      </w:tr>
    </w:tbl>
    <w:p w14:paraId="05E9C569" w14:textId="47F98AE0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Зі структурою розрахункового тарифу мож</w:t>
      </w:r>
      <w:r w:rsidR="003A6693">
        <w:rPr>
          <w:lang w:val="uk-UA"/>
        </w:rPr>
        <w:t>на</w:t>
      </w:r>
      <w:r w:rsidRPr="008C46C0">
        <w:rPr>
          <w:lang w:val="uk-UA"/>
        </w:rPr>
        <w:t xml:space="preserve"> ознайомитися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за</w:t>
      </w:r>
      <w:r w:rsidR="00395DC0">
        <w:rPr>
          <w:lang w:val="uk-UA"/>
        </w:rPr>
        <w:t xml:space="preserve"> </w:t>
      </w:r>
      <w:hyperlink r:id="rId5" w:history="1">
        <w:r w:rsidRPr="008C46C0">
          <w:rPr>
            <w:rStyle w:val="ae"/>
            <w:color w:val="auto"/>
            <w:u w:val="none"/>
            <w:lang w:val="uk-UA"/>
          </w:rPr>
          <w:t>посиланням</w:t>
        </w:r>
        <w:r w:rsidR="005145C4" w:rsidRPr="005145C4">
          <w:rPr>
            <w:rStyle w:val="ae"/>
            <w:color w:val="auto"/>
            <w:u w:val="none"/>
            <w:lang w:val="uk-UA"/>
          </w:rPr>
          <w:t xml:space="preserve"> «</w:t>
        </w:r>
        <w:r w:rsidRPr="008C46C0">
          <w:rPr>
            <w:rStyle w:val="ae"/>
            <w:i/>
            <w:iCs/>
            <w:color w:val="auto"/>
            <w:u w:val="none"/>
            <w:lang w:val="uk-UA"/>
          </w:rPr>
          <w:t>Структура тарифів</w:t>
        </w:r>
        <w:r w:rsidR="005145C4" w:rsidRPr="005145C4">
          <w:rPr>
            <w:rStyle w:val="ae"/>
            <w:i/>
            <w:iCs/>
            <w:color w:val="auto"/>
            <w:u w:val="none"/>
            <w:lang w:val="uk-UA"/>
          </w:rPr>
          <w:t>»</w:t>
        </w:r>
        <w:r w:rsidRPr="008C46C0">
          <w:rPr>
            <w:rStyle w:val="ae"/>
            <w:color w:val="auto"/>
            <w:u w:val="none"/>
            <w:lang w:val="uk-UA"/>
          </w:rPr>
          <w:t>.</w:t>
        </w:r>
      </w:hyperlink>
    </w:p>
    <w:p w14:paraId="7446F754" w14:textId="77777777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 xml:space="preserve">Встановлення тарифів обумовлено </w:t>
      </w:r>
      <w:r w:rsidR="000145B0" w:rsidRPr="003A6693">
        <w:rPr>
          <w:lang w:val="uk-UA"/>
        </w:rPr>
        <w:t>закінчення терміну дії чинних тарифів на послуги централізованого водопостачання та централізованого водовідведення</w:t>
      </w:r>
      <w:r w:rsidR="000145B0">
        <w:rPr>
          <w:lang w:val="uk-UA"/>
        </w:rPr>
        <w:t>.</w:t>
      </w:r>
    </w:p>
    <w:p w14:paraId="618B3578" w14:textId="77777777" w:rsidR="008C46C0" w:rsidRPr="003A6693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 xml:space="preserve">Крім цього, у розрахунках тарифів на 2026 рік відповідно до 8ꞌ Порядку формування тарифів підприємством ураховано плановий прибуток на </w:t>
      </w:r>
      <w:r w:rsidRPr="003A6693">
        <w:rPr>
          <w:lang w:val="uk-UA"/>
        </w:rPr>
        <w:t>поповнення обігових коштів у розмірі 4% до повної планової собівартості.</w:t>
      </w:r>
    </w:p>
    <w:p w14:paraId="348F226C" w14:textId="7F7A2AC0" w:rsidR="008C46C0" w:rsidRPr="000145B0" w:rsidRDefault="008C46C0" w:rsidP="00487B74">
      <w:pPr>
        <w:spacing w:after="0"/>
        <w:ind w:firstLine="567"/>
        <w:jc w:val="both"/>
        <w:rPr>
          <w:lang w:val="uk-UA"/>
        </w:rPr>
      </w:pPr>
      <w:r w:rsidRPr="003A6693">
        <w:rPr>
          <w:lang w:val="uk-UA"/>
        </w:rPr>
        <w:t>Перегляд тарифів на централізоване водопостачання та централізоване водовідведення до економічно</w:t>
      </w:r>
      <w:r w:rsidR="00395DC0">
        <w:rPr>
          <w:lang w:val="uk-UA"/>
        </w:rPr>
        <w:t xml:space="preserve"> </w:t>
      </w:r>
      <w:r w:rsidRPr="003A6693">
        <w:rPr>
          <w:lang w:val="uk-UA"/>
        </w:rPr>
        <w:t>обґрунтованого рівня є</w:t>
      </w:r>
      <w:r w:rsidR="00395DC0">
        <w:rPr>
          <w:lang w:val="uk-UA"/>
        </w:rPr>
        <w:t xml:space="preserve"> </w:t>
      </w:r>
      <w:r w:rsidRPr="003A6693">
        <w:rPr>
          <w:lang w:val="uk-UA"/>
        </w:rPr>
        <w:t>не просто вимогою чинного законодавства, а й</w:t>
      </w:r>
      <w:r w:rsidR="000145B0">
        <w:rPr>
          <w:lang w:val="uk-UA"/>
        </w:rPr>
        <w:t xml:space="preserve"> </w:t>
      </w:r>
      <w:r w:rsidRPr="003A6693">
        <w:rPr>
          <w:lang w:val="uk-UA"/>
        </w:rPr>
        <w:t>необхідним заходом для належного</w:t>
      </w:r>
      <w:r w:rsidR="000145B0">
        <w:rPr>
          <w:lang w:val="uk-UA"/>
        </w:rPr>
        <w:t xml:space="preserve"> </w:t>
      </w:r>
      <w:r w:rsidRPr="003A6693">
        <w:rPr>
          <w:lang w:val="uk-UA"/>
        </w:rPr>
        <w:t>функціонування підприємства, зокрема для здійснення розрахунків за енергоносії,</w:t>
      </w:r>
      <w:r w:rsidR="000145B0">
        <w:rPr>
          <w:lang w:val="uk-UA"/>
        </w:rPr>
        <w:t xml:space="preserve"> </w:t>
      </w:r>
      <w:r w:rsidRPr="003A6693">
        <w:rPr>
          <w:lang w:val="uk-UA"/>
        </w:rPr>
        <w:t>оплати податків,</w:t>
      </w:r>
      <w:r w:rsidR="000145B0">
        <w:rPr>
          <w:lang w:val="uk-UA"/>
        </w:rPr>
        <w:t xml:space="preserve"> </w:t>
      </w:r>
      <w:r w:rsidRPr="003A6693">
        <w:rPr>
          <w:lang w:val="uk-UA"/>
        </w:rPr>
        <w:t>вчасну виплату заробітної плати, недопущення</w:t>
      </w:r>
      <w:r w:rsidR="000145B0">
        <w:rPr>
          <w:lang w:val="uk-UA"/>
        </w:rPr>
        <w:t xml:space="preserve"> </w:t>
      </w:r>
      <w:r w:rsidRPr="003A6693">
        <w:rPr>
          <w:lang w:val="uk-UA"/>
        </w:rPr>
        <w:t>збитковості підприємства та забезпечення споживачів якісними послугами питною</w:t>
      </w:r>
      <w:r w:rsidR="000145B0">
        <w:rPr>
          <w:lang w:val="uk-UA"/>
        </w:rPr>
        <w:t xml:space="preserve"> водою та справною каналізацією, у зв</w:t>
      </w:r>
      <w:r w:rsidR="000145B0" w:rsidRPr="000145B0">
        <w:rPr>
          <w:lang w:val="uk-UA"/>
        </w:rPr>
        <w:t>’я</w:t>
      </w:r>
      <w:r w:rsidR="000145B0">
        <w:rPr>
          <w:lang w:val="uk-UA"/>
        </w:rPr>
        <w:t>зку з:</w:t>
      </w:r>
    </w:p>
    <w:p w14:paraId="72285D4D" w14:textId="77777777" w:rsidR="000145B0" w:rsidRPr="003A6693" w:rsidRDefault="000145B0" w:rsidP="000145B0">
      <w:pPr>
        <w:pStyle w:val="a9"/>
        <w:numPr>
          <w:ilvl w:val="0"/>
          <w:numId w:val="5"/>
        </w:numPr>
        <w:spacing w:after="0"/>
        <w:ind w:left="0" w:firstLine="568"/>
        <w:jc w:val="both"/>
        <w:rPr>
          <w:lang w:val="uk-UA"/>
        </w:rPr>
      </w:pPr>
      <w:r w:rsidRPr="003A6693">
        <w:rPr>
          <w:lang w:val="uk-UA"/>
        </w:rPr>
        <w:t>збільшення витрат на електроенергію за рахунок зростання тарифів на17,37%(з 8,655427 грн. за 1кВтгод.до 10,159287 грн. за 1кВтгод.);</w:t>
      </w:r>
    </w:p>
    <w:p w14:paraId="67AE8449" w14:textId="179178FA" w:rsidR="000145B0" w:rsidRPr="003A6693" w:rsidRDefault="000145B0" w:rsidP="000145B0">
      <w:pPr>
        <w:pStyle w:val="a9"/>
        <w:numPr>
          <w:ilvl w:val="0"/>
          <w:numId w:val="5"/>
        </w:numPr>
        <w:spacing w:after="0"/>
        <w:ind w:left="0" w:firstLine="568"/>
        <w:jc w:val="both"/>
        <w:rPr>
          <w:lang w:val="uk-UA"/>
        </w:rPr>
      </w:pPr>
      <w:r w:rsidRPr="003A6693">
        <w:rPr>
          <w:lang w:val="uk-UA"/>
        </w:rPr>
        <w:t>збільшення</w:t>
      </w:r>
      <w:r w:rsidR="00395DC0">
        <w:rPr>
          <w:lang w:val="uk-UA"/>
        </w:rPr>
        <w:t xml:space="preserve"> </w:t>
      </w:r>
      <w:r w:rsidRPr="003A6693">
        <w:rPr>
          <w:lang w:val="uk-UA"/>
        </w:rPr>
        <w:t>матеріальних витрат на ремонти</w:t>
      </w:r>
      <w:r w:rsidR="00395DC0">
        <w:rPr>
          <w:lang w:val="uk-UA"/>
        </w:rPr>
        <w:t xml:space="preserve"> </w:t>
      </w:r>
      <w:r w:rsidRPr="003A6693">
        <w:rPr>
          <w:lang w:val="uk-UA"/>
        </w:rPr>
        <w:t>у 2,87 рази. Ступінь зносу основних виробничих фондів становить  79,4%, що може в будь який момент призвести</w:t>
      </w:r>
      <w:r w:rsidR="00395DC0">
        <w:rPr>
          <w:lang w:val="uk-UA"/>
        </w:rPr>
        <w:t xml:space="preserve"> </w:t>
      </w:r>
      <w:r w:rsidRPr="003A6693">
        <w:rPr>
          <w:lang w:val="uk-UA"/>
        </w:rPr>
        <w:t>до виникнення критичної ситуації, пов’язаної з виникненням перебоїв у роботі обладнання та механізмів, руйнуванню споруд, що загрожує якісному, стабільному та безперебійному наданню послуг з централізованого водопостачання та централізованого водовідведення мешканцям Лебединської міської територіальної громади.</w:t>
      </w:r>
    </w:p>
    <w:p w14:paraId="36EF78B0" w14:textId="5D682EC3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Зауважимо,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 xml:space="preserve">що КП </w:t>
      </w:r>
      <w:r w:rsidR="005145C4">
        <w:rPr>
          <w:lang w:val="uk-UA"/>
        </w:rPr>
        <w:t>«В</w:t>
      </w:r>
      <w:r w:rsidRPr="008C46C0">
        <w:rPr>
          <w:lang w:val="uk-UA"/>
        </w:rPr>
        <w:t>одоканал</w:t>
      </w:r>
      <w:r w:rsidR="005145C4">
        <w:rPr>
          <w:lang w:val="uk-UA"/>
        </w:rPr>
        <w:t xml:space="preserve">» </w:t>
      </w:r>
      <w:r w:rsidRPr="008C46C0">
        <w:rPr>
          <w:lang w:val="uk-UA"/>
        </w:rPr>
        <w:t xml:space="preserve">належить до підприємств критичної інфраструктури, що забезпечує життєво необхідними послугами </w:t>
      </w:r>
      <w:r w:rsidR="005E4E3A">
        <w:rPr>
          <w:lang w:val="uk-UA"/>
        </w:rPr>
        <w:t xml:space="preserve">Лебединську міську </w:t>
      </w:r>
      <w:r w:rsidRPr="008C46C0">
        <w:rPr>
          <w:lang w:val="uk-UA"/>
        </w:rPr>
        <w:t>територіальну громаду. Жорстока російська агресія завдає ударів по економіці нашої держави. Ми всі прекрасно розуміємо,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що економічна ситуація буде залишатися складною, інфляційні процеси будуть погіршуватись.</w:t>
      </w:r>
    </w:p>
    <w:p w14:paraId="1BF5D201" w14:textId="631CE038" w:rsidR="008C46C0" w:rsidRPr="008C46C0" w:rsidRDefault="008C46C0" w:rsidP="00487B74">
      <w:pPr>
        <w:spacing w:after="0"/>
        <w:ind w:firstLine="567"/>
        <w:jc w:val="both"/>
        <w:rPr>
          <w:lang w:val="uk-UA"/>
        </w:rPr>
      </w:pPr>
      <w:r w:rsidRPr="008C46C0">
        <w:rPr>
          <w:lang w:val="uk-UA"/>
        </w:rPr>
        <w:t>Наголошуємо, що підвищення тарифів на послуги централізованого водопостачання та централізованого водовідведення для соціально незахищених верств населення</w:t>
      </w:r>
      <w:r w:rsidR="00395DC0">
        <w:rPr>
          <w:lang w:val="uk-UA"/>
        </w:rPr>
        <w:t xml:space="preserve"> </w:t>
      </w:r>
      <w:r w:rsidRPr="008C46C0">
        <w:rPr>
          <w:lang w:val="uk-UA"/>
        </w:rPr>
        <w:t>компенсується державою через монетизацію пільг і субсидій.</w:t>
      </w:r>
    </w:p>
    <w:p w14:paraId="40863094" w14:textId="60948E7F" w:rsidR="00763D6A" w:rsidRPr="00487B74" w:rsidRDefault="008C46C0" w:rsidP="003A6693">
      <w:pPr>
        <w:spacing w:after="0"/>
        <w:ind w:firstLine="567"/>
        <w:jc w:val="both"/>
        <w:rPr>
          <w:lang w:val="uk-UA"/>
        </w:rPr>
      </w:pPr>
      <w:r w:rsidRPr="008C46C0">
        <w:rPr>
          <w:b/>
          <w:bCs/>
          <w:lang w:val="uk-UA"/>
        </w:rPr>
        <w:t>Пропозиції та зауваження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>щодо нових тарифів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>приймаються протягом 1</w:t>
      </w:r>
      <w:r w:rsidR="00362B8B">
        <w:rPr>
          <w:b/>
          <w:bCs/>
          <w:lang w:val="uk-UA"/>
        </w:rPr>
        <w:t xml:space="preserve">0 </w:t>
      </w:r>
      <w:r w:rsidRPr="008C46C0">
        <w:rPr>
          <w:b/>
          <w:bCs/>
          <w:lang w:val="uk-UA"/>
        </w:rPr>
        <w:t>календарних днів з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 xml:space="preserve">дня опублікування цього повідомлення </w:t>
      </w:r>
      <w:r w:rsidR="003A6693">
        <w:rPr>
          <w:b/>
          <w:bCs/>
          <w:lang w:val="uk-UA"/>
        </w:rPr>
        <w:t>за</w:t>
      </w:r>
      <w:r w:rsidRPr="008C46C0">
        <w:rPr>
          <w:b/>
          <w:bCs/>
          <w:lang w:val="uk-UA"/>
        </w:rPr>
        <w:t xml:space="preserve"> адрес</w:t>
      </w:r>
      <w:r w:rsidR="003A6693">
        <w:rPr>
          <w:b/>
          <w:bCs/>
          <w:lang w:val="uk-UA"/>
        </w:rPr>
        <w:t>ою</w:t>
      </w:r>
      <w:r w:rsidRPr="008C46C0">
        <w:rPr>
          <w:b/>
          <w:bCs/>
          <w:lang w:val="uk-UA"/>
        </w:rPr>
        <w:t xml:space="preserve">: </w:t>
      </w:r>
      <w:r w:rsidR="005E4E3A">
        <w:rPr>
          <w:b/>
          <w:bCs/>
          <w:lang w:val="uk-UA"/>
        </w:rPr>
        <w:t xml:space="preserve">42200, </w:t>
      </w:r>
      <w:r w:rsidRPr="008C46C0">
        <w:rPr>
          <w:b/>
          <w:bCs/>
          <w:lang w:val="uk-UA"/>
        </w:rPr>
        <w:t xml:space="preserve">м. </w:t>
      </w:r>
      <w:r w:rsidR="005E4E3A">
        <w:rPr>
          <w:b/>
          <w:bCs/>
          <w:lang w:val="uk-UA"/>
        </w:rPr>
        <w:t>Лебедин</w:t>
      </w:r>
      <w:r w:rsidRPr="008C46C0">
        <w:rPr>
          <w:b/>
          <w:bCs/>
          <w:lang w:val="uk-UA"/>
        </w:rPr>
        <w:t>,</w:t>
      </w:r>
      <w:r w:rsidR="00395DC0">
        <w:rPr>
          <w:b/>
          <w:bCs/>
          <w:lang w:val="uk-UA"/>
        </w:rPr>
        <w:t xml:space="preserve"> </w:t>
      </w:r>
      <w:r w:rsidRPr="008C46C0">
        <w:rPr>
          <w:b/>
          <w:bCs/>
          <w:lang w:val="uk-UA"/>
        </w:rPr>
        <w:t xml:space="preserve">вул. </w:t>
      </w:r>
      <w:r w:rsidR="005E4E3A">
        <w:rPr>
          <w:b/>
          <w:bCs/>
          <w:lang w:val="uk-UA"/>
        </w:rPr>
        <w:t>Івана Мазепи</w:t>
      </w:r>
      <w:r w:rsidRPr="008C46C0">
        <w:rPr>
          <w:b/>
          <w:bCs/>
          <w:lang w:val="uk-UA"/>
        </w:rPr>
        <w:t xml:space="preserve">, </w:t>
      </w:r>
      <w:r w:rsidR="005E4E3A">
        <w:rPr>
          <w:b/>
          <w:bCs/>
          <w:lang w:val="uk-UA"/>
        </w:rPr>
        <w:t>69</w:t>
      </w:r>
      <w:r w:rsidRPr="008C46C0">
        <w:rPr>
          <w:b/>
          <w:bCs/>
          <w:lang w:val="uk-UA"/>
        </w:rPr>
        <w:t>,</w:t>
      </w:r>
      <w:r w:rsidR="005E4E3A">
        <w:rPr>
          <w:b/>
          <w:bCs/>
          <w:lang w:val="uk-UA"/>
        </w:rPr>
        <w:t xml:space="preserve"> КП «В</w:t>
      </w:r>
      <w:r w:rsidRPr="008C46C0">
        <w:rPr>
          <w:b/>
          <w:bCs/>
          <w:lang w:val="uk-UA"/>
        </w:rPr>
        <w:t>одоканал</w:t>
      </w:r>
      <w:r w:rsidR="005E4E3A">
        <w:rPr>
          <w:b/>
          <w:bCs/>
          <w:lang w:val="uk-UA"/>
        </w:rPr>
        <w:t xml:space="preserve">» </w:t>
      </w:r>
      <w:r w:rsidRPr="008C46C0">
        <w:rPr>
          <w:b/>
          <w:bCs/>
          <w:lang w:val="uk-UA"/>
        </w:rPr>
        <w:t xml:space="preserve">та електронну </w:t>
      </w:r>
      <w:r w:rsidR="003A6693">
        <w:rPr>
          <w:b/>
          <w:bCs/>
          <w:lang w:val="uk-UA"/>
        </w:rPr>
        <w:t>пошту</w:t>
      </w:r>
      <w:r w:rsidR="005E4E3A">
        <w:rPr>
          <w:b/>
          <w:bCs/>
          <w:lang w:val="uk-UA"/>
        </w:rPr>
        <w:t xml:space="preserve">: </w:t>
      </w:r>
      <w:hyperlink r:id="rId6" w:history="1">
        <w:r w:rsidR="005E4E3A" w:rsidRPr="00487B74">
          <w:rPr>
            <w:rStyle w:val="ae"/>
            <w:lang w:val="uk-UA"/>
          </w:rPr>
          <w:t>lebvodokanal@ukr.net</w:t>
        </w:r>
      </w:hyperlink>
    </w:p>
    <w:sectPr w:rsidR="00763D6A" w:rsidRPr="00487B74" w:rsidSect="003B08B0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66BD"/>
    <w:multiLevelType w:val="multilevel"/>
    <w:tmpl w:val="5C6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73B28"/>
    <w:multiLevelType w:val="hybridMultilevel"/>
    <w:tmpl w:val="A93615E6"/>
    <w:lvl w:ilvl="0" w:tplc="E1E828E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6D0959"/>
    <w:multiLevelType w:val="multilevel"/>
    <w:tmpl w:val="921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47DB4"/>
    <w:multiLevelType w:val="multilevel"/>
    <w:tmpl w:val="700A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177533"/>
    <w:multiLevelType w:val="hybridMultilevel"/>
    <w:tmpl w:val="B89E141A"/>
    <w:lvl w:ilvl="0" w:tplc="414EC784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 w16cid:durableId="711656516">
    <w:abstractNumId w:val="3"/>
  </w:num>
  <w:num w:numId="2" w16cid:durableId="490827627">
    <w:abstractNumId w:val="0"/>
  </w:num>
  <w:num w:numId="3" w16cid:durableId="1558316872">
    <w:abstractNumId w:val="2"/>
  </w:num>
  <w:num w:numId="4" w16cid:durableId="552280306">
    <w:abstractNumId w:val="1"/>
  </w:num>
  <w:num w:numId="5" w16cid:durableId="61024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515"/>
    <w:rsid w:val="000145B0"/>
    <w:rsid w:val="000B4515"/>
    <w:rsid w:val="00135A74"/>
    <w:rsid w:val="00182E6D"/>
    <w:rsid w:val="001D5F46"/>
    <w:rsid w:val="0020039B"/>
    <w:rsid w:val="00251D11"/>
    <w:rsid w:val="00257CCD"/>
    <w:rsid w:val="00362B8B"/>
    <w:rsid w:val="00395DC0"/>
    <w:rsid w:val="003A6693"/>
    <w:rsid w:val="003B08B0"/>
    <w:rsid w:val="003D5583"/>
    <w:rsid w:val="003D7737"/>
    <w:rsid w:val="00487B74"/>
    <w:rsid w:val="005145C4"/>
    <w:rsid w:val="005A08E0"/>
    <w:rsid w:val="005C20AC"/>
    <w:rsid w:val="005E4E3A"/>
    <w:rsid w:val="005E5198"/>
    <w:rsid w:val="005F1D7B"/>
    <w:rsid w:val="0065338F"/>
    <w:rsid w:val="006C0B77"/>
    <w:rsid w:val="00763D6A"/>
    <w:rsid w:val="007D3EB7"/>
    <w:rsid w:val="008242FF"/>
    <w:rsid w:val="00870751"/>
    <w:rsid w:val="008C46C0"/>
    <w:rsid w:val="008F63C3"/>
    <w:rsid w:val="009177FA"/>
    <w:rsid w:val="00922C48"/>
    <w:rsid w:val="009E1A3C"/>
    <w:rsid w:val="00A16F29"/>
    <w:rsid w:val="00B915B7"/>
    <w:rsid w:val="00B92DA7"/>
    <w:rsid w:val="00D305A3"/>
    <w:rsid w:val="00EA59DF"/>
    <w:rsid w:val="00ED39E0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F6D3"/>
  <w15:docId w15:val="{4AA90904-D202-4FE7-8F95-6537FE2A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5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5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5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5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5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5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5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5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45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45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45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45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45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4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5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451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B4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51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5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B45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B451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3D6A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6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bvodokanal@ukr.net" TargetMode="External"/><Relationship Id="rId5" Type="http://schemas.openxmlformats.org/officeDocument/2006/relationships/hyperlink" Target="https://volodymyrrada.gov.ua/wp-content/uploads/2025/08/struktura-taryfu-2026r.-Vodokanal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2025-11-26T12:34:00Z</dcterms:created>
  <dcterms:modified xsi:type="dcterms:W3CDTF">2025-11-28T12:46:00Z</dcterms:modified>
</cp:coreProperties>
</file>